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6A7F7F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8671D8F" w:rsidR="00C15348" w:rsidRPr="006A7F7F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6A7F7F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6A7F7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6A7F7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F01B85" w:rsidRPr="006A7F7F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6A7F7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F01B85" w:rsidRPr="006A7F7F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6A7F7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6A7F7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6A7F7F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35FD411B" w:rsidR="00DC6DB4" w:rsidRPr="006A7F7F" w:rsidRDefault="006C0465" w:rsidP="008151BB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6A7F7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Lidl συνεχίζει τα </w:t>
      </w:r>
      <w:proofErr w:type="spellStart"/>
      <w:r w:rsidRPr="006A7F7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partnerships</w:t>
      </w:r>
      <w:proofErr w:type="spellEnd"/>
      <w:r w:rsidRPr="006A7F7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με </w:t>
      </w:r>
      <w:r w:rsidR="00F030D7" w:rsidRPr="006A7F7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το </w:t>
      </w:r>
      <w:r w:rsidRPr="006A7F7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UEFA Europa </w:t>
      </w:r>
      <w:proofErr w:type="spellStart"/>
      <w:r w:rsidRPr="006A7F7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League</w:t>
      </w:r>
      <w:proofErr w:type="spellEnd"/>
      <w:r w:rsidRPr="006A7F7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και τ</w:t>
      </w:r>
      <w:r w:rsidR="00426599" w:rsidRPr="006A7F7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ο</w:t>
      </w:r>
      <w:r w:rsidRPr="006A7F7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UEFA </w:t>
      </w:r>
      <w:proofErr w:type="spellStart"/>
      <w:r w:rsidRPr="006A7F7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Conference</w:t>
      </w:r>
      <w:proofErr w:type="spellEnd"/>
      <w:r w:rsidRPr="006A7F7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proofErr w:type="spellStart"/>
      <w:r w:rsidRPr="006A7F7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League</w:t>
      </w:r>
      <w:proofErr w:type="spellEnd"/>
      <w:r w:rsidRPr="006A7F7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μετά από την εντυπωσιακή ανταπόκριση των φιλάθλων </w:t>
      </w:r>
    </w:p>
    <w:bookmarkEnd w:id="0"/>
    <w:bookmarkEnd w:id="1"/>
    <w:p w14:paraId="54ECBA9D" w14:textId="616573F0" w:rsidR="00EA0DD0" w:rsidRPr="006A7F7F" w:rsidRDefault="00EA0DD0" w:rsidP="00665D4E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6A7F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Μετά από μ</w:t>
      </w:r>
      <w:r w:rsidR="00426599" w:rsidRPr="006A7F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ί</w:t>
      </w:r>
      <w:r w:rsidRPr="006A7F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 αξέχαστη χρονιά στο ευρωπαϊκό ποδόσφαιρο, η Lidl ανυπομονεί να συνεχίσει τη συνεργασία της ως </w:t>
      </w:r>
      <w:r w:rsidR="00F01B85" w:rsidRPr="006A7F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Official </w:t>
      </w:r>
      <w:proofErr w:type="spellStart"/>
      <w:r w:rsidR="00F01B85" w:rsidRPr="006A7F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Partner</w:t>
      </w:r>
      <w:proofErr w:type="spellEnd"/>
      <w:r w:rsidRPr="006A7F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του UEFA Europa </w:t>
      </w:r>
      <w:proofErr w:type="spellStart"/>
      <w:r w:rsidRPr="006A7F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League</w:t>
      </w:r>
      <w:proofErr w:type="spellEnd"/>
      <w:r w:rsidRPr="006A7F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και του UEFA </w:t>
      </w:r>
      <w:proofErr w:type="spellStart"/>
      <w:r w:rsidRPr="006A7F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Conference</w:t>
      </w:r>
      <w:proofErr w:type="spellEnd"/>
      <w:r w:rsidRPr="006A7F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6A7F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League</w:t>
      </w:r>
      <w:proofErr w:type="spellEnd"/>
      <w:r w:rsidRPr="006A7F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για τη σεζόν 2025/26.</w:t>
      </w:r>
    </w:p>
    <w:p w14:paraId="18BFF9EC" w14:textId="178E5F24" w:rsidR="00EA0DD0" w:rsidRPr="006A7F7F" w:rsidRDefault="00EA0DD0" w:rsidP="00675C1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Την περασμένη σεζόν, </w:t>
      </w:r>
      <w:r w:rsidR="000019C9"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το </w:t>
      </w:r>
      <w:proofErr w:type="spellStart"/>
      <w:r w:rsidR="000019C9"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partnership</w:t>
      </w:r>
      <w:proofErr w:type="spellEnd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της Lidl με το UEFA Europa </w:t>
      </w:r>
      <w:proofErr w:type="spellStart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League</w:t>
      </w:r>
      <w:proofErr w:type="spellEnd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και το UEFA </w:t>
      </w:r>
      <w:proofErr w:type="spellStart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Conference</w:t>
      </w:r>
      <w:proofErr w:type="spellEnd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</w:t>
      </w:r>
      <w:proofErr w:type="spellStart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League</w:t>
      </w:r>
      <w:proofErr w:type="spellEnd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ένωσε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36 χώρες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και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72 συλλόγους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σε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342 αγωνιστικές ημέρες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, καθιστώντας τη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Lidl τον πιο ορατό χορηγό των διοργανώσεων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σύμφωνα με την έκθεση της </w:t>
      </w:r>
      <w:proofErr w:type="spellStart"/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Nielson</w:t>
      </w:r>
      <w:proofErr w:type="spellEnd"/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</w:t>
      </w:r>
      <w:proofErr w:type="spellStart"/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Sports</w:t>
      </w:r>
      <w:proofErr w:type="spellEnd"/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*, φέρνοντας τους φιλάθλους πιο κοντά στο άθλημα που αγαπούν.</w:t>
      </w:r>
    </w:p>
    <w:p w14:paraId="17E380E5" w14:textId="45EFF118" w:rsidR="00EA0DD0" w:rsidRPr="006A7F7F" w:rsidRDefault="00EA0DD0" w:rsidP="00675C1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Οι πρωτοβουλίες της Lidl κατά τη διάρκεια του τουρνουά </w:t>
      </w:r>
      <w:r w:rsidR="009B302B"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προσέγγισαν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χιλιάδες παίκτες, φιλάθλους και οικογένειες. Κατά τη διάρκεια της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σεζόν 2024/25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, η Lidl:</w:t>
      </w:r>
    </w:p>
    <w:p w14:paraId="0DD48079" w14:textId="77777777" w:rsidR="00EA0DD0" w:rsidRPr="006A7F7F" w:rsidRDefault="00EA0DD0" w:rsidP="00675C18">
      <w:pPr>
        <w:pStyle w:val="EinfAbs"/>
        <w:numPr>
          <w:ilvl w:val="0"/>
          <w:numId w:val="5"/>
        </w:numPr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Προσέφερε πάνω από 18.000 μερίδες φρέσκων φρούτων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για να δώσει ενέργεια στους φιλάθλους στα γήπεδα.</w:t>
      </w:r>
    </w:p>
    <w:p w14:paraId="2C516D09" w14:textId="77777777" w:rsidR="00EA0DD0" w:rsidRPr="006A7F7F" w:rsidRDefault="00EA0DD0" w:rsidP="00675C18">
      <w:pPr>
        <w:pStyle w:val="EinfAbs"/>
        <w:numPr>
          <w:ilvl w:val="0"/>
          <w:numId w:val="5"/>
        </w:numPr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Στήριξε τους πελάτες της Lidl και τις οικογένειες σε όλη την Ευρώπη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, προσφέροντας 4.685 εισιτήρια, κάνοντας το κορυφαίο ευρωπαϊκό ποδόσφαιρο πιο προσβάσιμο σε περισσότερες οικογένειες και κοινότητες.</w:t>
      </w:r>
    </w:p>
    <w:p w14:paraId="4AD0CC42" w14:textId="77777777" w:rsidR="00EA0DD0" w:rsidRPr="006A7F7F" w:rsidRDefault="00EA0DD0" w:rsidP="00675C18">
      <w:pPr>
        <w:pStyle w:val="EinfAbs"/>
        <w:numPr>
          <w:ilvl w:val="0"/>
          <w:numId w:val="5"/>
        </w:numPr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7.524 νεαροί φίλαθλοι έγιναν μέλη της Lidl </w:t>
      </w:r>
      <w:proofErr w:type="spellStart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Kids</w:t>
      </w:r>
      <w:proofErr w:type="spellEnd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</w:t>
      </w:r>
      <w:proofErr w:type="spellStart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Team</w:t>
      </w:r>
      <w:proofErr w:type="spellEnd"/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, βγαίνοντας στον αγωνιστικό χώρο μαζί με τους ήρωές τους και ζώντας από κοντά τη μαγεία της αγωνιστικής ημέρας.</w:t>
      </w:r>
    </w:p>
    <w:p w14:paraId="4738DF96" w14:textId="77777777" w:rsidR="00EA0DD0" w:rsidRPr="006A7F7F" w:rsidRDefault="00EA0DD0" w:rsidP="00675C1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Κοιτάζοντας μπροστά, η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Lidl θα συνεχίσει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να προσφέρει αυτές τις μοναδικές ευκαιρίες στους φιλάθλους και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τη σεζόν 2025/26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,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με κληρώσεις εισιτηρίων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,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εμπειρίες Lidl </w:t>
      </w:r>
      <w:proofErr w:type="spellStart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Kids</w:t>
      </w:r>
      <w:proofErr w:type="spellEnd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</w:t>
      </w:r>
      <w:proofErr w:type="spellStart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Team</w:t>
      </w:r>
      <w:proofErr w:type="spellEnd"/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και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συνεχή πρόσβαση σε φρέσκα, υγιεινά τρόφιμα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. Αυτή η συνεργασία υπογραμμίζει τη δέσμευση της Lidl στην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προώθηση ενός δραστήριου τρόπου ζωής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, 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lastRenderedPageBreak/>
        <w:t xml:space="preserve">στην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υποστήριξη των κοινοτήτων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και στη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διάδοση του ποδοσφαίρου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με τρόπο πιο προσβάσιμο και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χωρίς αποκλεισμούς για όλους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.</w:t>
      </w:r>
    </w:p>
    <w:p w14:paraId="6BE64EA3" w14:textId="77777777" w:rsidR="00EA0DD0" w:rsidRPr="006A7F7F" w:rsidRDefault="00EA0DD0" w:rsidP="00675C1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Υποστηρίζοντας τη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συνειδητή διατροφή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και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τον δραστήριο τρόπο ζωής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, οι συνεχιζόμενες συνεργασίες της Lidl με το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UEFA Europa </w:t>
      </w:r>
      <w:proofErr w:type="spellStart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League</w:t>
      </w:r>
      <w:proofErr w:type="spellEnd"/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και το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UEFA </w:t>
      </w:r>
      <w:proofErr w:type="spellStart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Conference</w:t>
      </w:r>
      <w:proofErr w:type="spellEnd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</w:t>
      </w:r>
      <w:proofErr w:type="spellStart"/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League</w:t>
      </w:r>
      <w:proofErr w:type="spellEnd"/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δεν αφορούν μόνο την υποστήριξη του ποδοσφαίρου υψηλού επιπέδου, αλλά και τη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δημιουργία στιγμών που αλλάζουν ζωές για ανθρώπους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,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φιλάθλους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και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οικογένειες σε όλη την Ευρώπη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.</w:t>
      </w:r>
    </w:p>
    <w:p w14:paraId="2E680B54" w14:textId="303CEEEC" w:rsidR="00426599" w:rsidRPr="006A7F7F" w:rsidRDefault="00426599" w:rsidP="00426599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Ο </w:t>
      </w:r>
      <w:r w:rsidRPr="006A7F7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Martin Brandenburger, CEO &amp; Πρόεδρος Διοίκησης της Lidl Κύπρου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, δήλωσε σχετικά: </w:t>
      </w:r>
      <w:r w:rsidRPr="006A7F7F">
        <w:rPr>
          <w:rFonts w:ascii="Lidl Font Pro" w:eastAsiaTheme="minorEastAsia" w:hAnsi="Lidl Font Pro" w:cs="Calibri-Bold"/>
          <w:i/>
          <w:iCs/>
          <w:color w:val="auto"/>
          <w:sz w:val="22"/>
          <w:szCs w:val="22"/>
          <w:lang w:val="el-GR"/>
        </w:rPr>
        <w:t xml:space="preserve">«Μέσα από τη συνεργασία μας την περασμένη σεζόν, καταφέραμε να φέρουμε κοντά με επιτυχία οικογένειες και φιλάθλους από όλες τις  χώρες που δραστηριοποιείται η Lidl στην Ευρώπη, κάνοντας το ποδόσφαιρο πιο συμπεριληπτικό και προσβάσιμο για όλους. Καθώς συνεχίζουμε αυτή τη συνεργασία, παραμένουμε αφοσιωμένοι στην προώθηση </w:t>
      </w:r>
      <w:r w:rsidR="005A5F33">
        <w:rPr>
          <w:rFonts w:ascii="Lidl Font Pro" w:eastAsiaTheme="minorEastAsia" w:hAnsi="Lidl Font Pro" w:cs="Calibri-Bold"/>
          <w:i/>
          <w:iCs/>
          <w:color w:val="auto"/>
          <w:sz w:val="22"/>
          <w:szCs w:val="22"/>
          <w:lang w:val="el-GR"/>
        </w:rPr>
        <w:t>ενός</w:t>
      </w:r>
      <w:r w:rsidR="005130CF" w:rsidRPr="005130CF">
        <w:rPr>
          <w:rFonts w:ascii="Lidl Font Pro" w:eastAsiaTheme="minorEastAsia" w:hAnsi="Lidl Font Pro" w:cs="Calibri-Bold"/>
          <w:i/>
          <w:iCs/>
          <w:color w:val="auto"/>
          <w:sz w:val="22"/>
          <w:szCs w:val="22"/>
          <w:lang w:val="el-GR"/>
        </w:rPr>
        <w:t xml:space="preserve"> υγιεινού τρόπου ζωής</w:t>
      </w:r>
      <w:r w:rsidRPr="006A7F7F">
        <w:rPr>
          <w:rFonts w:ascii="Lidl Font Pro" w:eastAsiaTheme="minorEastAsia" w:hAnsi="Lidl Font Pro" w:cs="Calibri-Bold"/>
          <w:i/>
          <w:iCs/>
          <w:color w:val="auto"/>
          <w:sz w:val="22"/>
          <w:szCs w:val="22"/>
          <w:lang w:val="el-GR"/>
        </w:rPr>
        <w:t>, της συμμετοχής στην κοινότητα και των ουσιαστικών εμπειριών, εντός και εκτός γηπέδου.»</w:t>
      </w:r>
    </w:p>
    <w:p w14:paraId="1C6280ED" w14:textId="77777777" w:rsidR="00745A4A" w:rsidRPr="006A7F7F" w:rsidRDefault="00EA0DD0" w:rsidP="00675C1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Μπορείτε να μάθετε περισσότερα σχετικά με τη συνεχή υποστήριξη της Lidl στο ευρωπαϊκό ποδόσφαιρο και τις υγιείς κοινότητες</w:t>
      </w:r>
      <w:r w:rsidR="00745A4A"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</w:t>
      </w:r>
      <w:hyperlink r:id="rId8" w:history="1">
        <w:r w:rsidR="00745A4A" w:rsidRPr="006A7F7F">
          <w:rPr>
            <w:rStyle w:val="-"/>
            <w:rFonts w:ascii="Lidl Font Pro" w:eastAsiaTheme="minorEastAsia" w:hAnsi="Lidl Font Pro" w:cs="Calibri-Bold"/>
            <w:sz w:val="22"/>
            <w:szCs w:val="22"/>
            <w:lang w:val="el-GR"/>
          </w:rPr>
          <w:t>εδώ</w:t>
        </w:r>
      </w:hyperlink>
      <w:r w:rsidR="00745A4A"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.</w:t>
      </w:r>
    </w:p>
    <w:p w14:paraId="75ABE471" w14:textId="551E8E3A" w:rsidR="00EA0DD0" w:rsidRPr="006A7F7F" w:rsidRDefault="00745A4A" w:rsidP="00675C1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rPr>
          <w:rFonts w:ascii="Lidl Font Pro" w:eastAsia="Lidl Font Pro" w:hAnsi="Lidl Font Pro" w:cs="Lidl Font Pro"/>
          <w:i/>
          <w:iCs/>
          <w:sz w:val="22"/>
          <w:szCs w:val="22"/>
          <w:lang w:val="el-GR"/>
        </w:rPr>
      </w:pP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Μπορείτε να απολαύσετε </w:t>
      </w:r>
      <w:r w:rsidR="00FC357E"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στιγμιότυπα</w:t>
      </w:r>
      <w:r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από </w:t>
      </w:r>
      <w:r w:rsidR="004E38F1"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το περσινό </w:t>
      </w:r>
      <w:proofErr w:type="spellStart"/>
      <w:r w:rsidR="004E38F1"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partnership</w:t>
      </w:r>
      <w:proofErr w:type="spellEnd"/>
      <w:r w:rsidR="004E38F1"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</w:t>
      </w:r>
      <w:hyperlink r:id="rId9" w:history="1">
        <w:r w:rsidR="00A04925" w:rsidRPr="006A7F7F">
          <w:rPr>
            <w:rStyle w:val="-"/>
            <w:rFonts w:ascii="Lidl Font Pro" w:eastAsiaTheme="minorEastAsia" w:hAnsi="Lidl Font Pro" w:cs="Calibri-Bold"/>
            <w:sz w:val="22"/>
            <w:szCs w:val="22"/>
            <w:lang w:val="el-GR"/>
          </w:rPr>
          <w:t>εδώ</w:t>
        </w:r>
      </w:hyperlink>
      <w:r w:rsidR="00A04925"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.</w:t>
      </w:r>
      <w:r w:rsidR="00EA0DD0" w:rsidRPr="006A7F7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br/>
      </w:r>
    </w:p>
    <w:p w14:paraId="4D52EB04" w14:textId="77777777" w:rsidR="00EA0DD0" w:rsidRPr="00CB73A1" w:rsidRDefault="00EA0DD0" w:rsidP="00675C1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rPr>
          <w:rFonts w:ascii="Lidl Font Pro" w:eastAsiaTheme="minorEastAsia" w:hAnsi="Lidl Font Pro" w:cs="Calibri-Bold"/>
          <w:color w:val="auto"/>
          <w:sz w:val="22"/>
          <w:szCs w:val="22"/>
          <w:lang w:val="en-US"/>
        </w:rPr>
      </w:pPr>
      <w:r w:rsidRPr="00CB73A1">
        <w:rPr>
          <w:rFonts w:ascii="Lidl Font Pro" w:eastAsia="Lidl Font Pro" w:hAnsi="Lidl Font Pro" w:cs="Lidl Font Pro"/>
          <w:i/>
          <w:iCs/>
          <w:sz w:val="22"/>
          <w:szCs w:val="22"/>
          <w:lang w:val="en-US"/>
        </w:rPr>
        <w:t xml:space="preserve">*Nielsen Sports. Internal Report, June 2025. Unpublished document. Accessed by Lidl. </w:t>
      </w:r>
      <w:r w:rsidRPr="00CB73A1">
        <w:rPr>
          <w:rFonts w:ascii="Lidl Font Pro" w:eastAsiaTheme="minorEastAsia" w:hAnsi="Lidl Font Pro" w:cs="Calibri-Bold"/>
          <w:i/>
          <w:iCs/>
          <w:sz w:val="22"/>
          <w:szCs w:val="22"/>
          <w:lang w:val="en-US"/>
        </w:rPr>
        <w:t>Base</w:t>
      </w:r>
      <w:r w:rsidRPr="00CB73A1">
        <w:rPr>
          <w:rFonts w:ascii="Lidl Font Pro" w:eastAsia="Lidl Font Pro" w:hAnsi="Lidl Font Pro" w:cs="Lidl Font Pro"/>
          <w:i/>
          <w:iCs/>
          <w:sz w:val="22"/>
          <w:szCs w:val="22"/>
          <w:lang w:val="en-US"/>
        </w:rPr>
        <w:t>: 12,000 representative citizens aged 16 - 69 years.</w:t>
      </w:r>
    </w:p>
    <w:p w14:paraId="74AED6B0" w14:textId="010ED3B8" w:rsidR="0049075C" w:rsidRPr="00CB73A1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</w:p>
    <w:p w14:paraId="53ABD537" w14:textId="59709B5E" w:rsidR="006B243D" w:rsidRPr="00CB73A1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6A7F7F">
        <w:rPr>
          <w:rFonts w:ascii="Lidl Font Pro" w:hAnsi="Lidl Font Pro" w:cs="Calibri,Bold"/>
          <w:b/>
          <w:bCs/>
          <w:color w:val="1F497D"/>
          <w:lang w:val="el-GR"/>
        </w:rPr>
        <w:t>Επισκεφθείτε</w:t>
      </w:r>
      <w:r w:rsidRPr="00CB73A1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  <w:r w:rsidRPr="006A7F7F">
        <w:rPr>
          <w:rFonts w:ascii="Lidl Font Pro" w:hAnsi="Lidl Font Pro" w:cs="Calibri,Bold"/>
          <w:b/>
          <w:bCs/>
          <w:color w:val="1F497D"/>
          <w:lang w:val="el-GR"/>
        </w:rPr>
        <w:t>τη</w:t>
      </w:r>
      <w:r w:rsidRPr="00CB73A1">
        <w:rPr>
          <w:rFonts w:ascii="Lidl Font Pro" w:hAnsi="Lidl Font Pro" w:cs="Calibri,Bold"/>
          <w:b/>
          <w:bCs/>
          <w:color w:val="1F497D"/>
          <w:lang w:val="en-US"/>
        </w:rPr>
        <w:t xml:space="preserve"> Lidl </w:t>
      </w:r>
      <w:r w:rsidRPr="006A7F7F">
        <w:rPr>
          <w:rFonts w:ascii="Lidl Font Pro" w:hAnsi="Lidl Font Pro" w:cs="Calibri,Bold"/>
          <w:b/>
          <w:bCs/>
          <w:color w:val="1F497D"/>
          <w:lang w:val="el-GR"/>
        </w:rPr>
        <w:t>Κύπρου</w:t>
      </w:r>
      <w:r w:rsidR="00E842D1" w:rsidRPr="00CB73A1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  <w:r w:rsidR="00E842D1" w:rsidRPr="006A7F7F">
        <w:rPr>
          <w:rFonts w:ascii="Lidl Font Pro" w:hAnsi="Lidl Font Pro" w:cs="Calibri,Bold"/>
          <w:b/>
          <w:bCs/>
          <w:color w:val="1F497D"/>
          <w:lang w:val="el-GR"/>
        </w:rPr>
        <w:t>και</w:t>
      </w:r>
      <w:r w:rsidR="00E842D1" w:rsidRPr="00CB73A1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  <w:r w:rsidR="00E842D1" w:rsidRPr="006A7F7F">
        <w:rPr>
          <w:rFonts w:ascii="Lidl Font Pro" w:hAnsi="Lidl Font Pro" w:cs="Calibri,Bold"/>
          <w:b/>
          <w:bCs/>
          <w:color w:val="1F497D"/>
          <w:lang w:val="el-GR"/>
        </w:rPr>
        <w:t>στα</w:t>
      </w:r>
      <w:r w:rsidRPr="00CB73A1">
        <w:rPr>
          <w:rFonts w:ascii="Lidl Font Pro" w:hAnsi="Lidl Font Pro" w:cs="Calibri,Bold"/>
          <w:b/>
          <w:bCs/>
          <w:color w:val="1F497D"/>
          <w:lang w:val="en-US"/>
        </w:rPr>
        <w:t>:</w:t>
      </w:r>
    </w:p>
    <w:p w14:paraId="6DE033A6" w14:textId="77777777" w:rsidR="00564EF6" w:rsidRPr="00CB73A1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564EF6" w:rsidRPr="00CB73A1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CB73A1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CB73A1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CB73A1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E78EA4C" w14:textId="77777777" w:rsidR="006B243D" w:rsidRPr="00CB73A1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CB73A1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CB73A1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CB73A1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CB73A1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CB73A1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CB73A1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Pr="00CB73A1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CB73A1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CB73A1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CB73A1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CB73A1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CB73A1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CB73A1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CB73A1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0083FF46" w14:textId="00C0C367" w:rsidR="006B243D" w:rsidRPr="00CB73A1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CB73A1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CB73A1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  <w:r w:rsidR="006B243D" w:rsidRPr="00CB73A1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CB73A1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CB73A1" w:rsidSect="00DF2D4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5B991" w14:textId="77777777" w:rsidR="007104E9" w:rsidRDefault="007104E9" w:rsidP="00C15348">
      <w:pPr>
        <w:spacing w:after="0" w:line="240" w:lineRule="auto"/>
      </w:pPr>
      <w:r>
        <w:separator/>
      </w:r>
    </w:p>
  </w:endnote>
  <w:endnote w:type="continuationSeparator" w:id="0">
    <w:p w14:paraId="007246A6" w14:textId="77777777" w:rsidR="007104E9" w:rsidRDefault="007104E9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B182B" w14:textId="77777777" w:rsidR="007104E9" w:rsidRDefault="007104E9" w:rsidP="00C15348">
      <w:pPr>
        <w:spacing w:after="0" w:line="240" w:lineRule="auto"/>
      </w:pPr>
      <w:r>
        <w:separator/>
      </w:r>
    </w:p>
  </w:footnote>
  <w:footnote w:type="continuationSeparator" w:id="0">
    <w:p w14:paraId="2A432CB2" w14:textId="77777777" w:rsidR="007104E9" w:rsidRDefault="007104E9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12B6E"/>
    <w:multiLevelType w:val="hybridMultilevel"/>
    <w:tmpl w:val="A948AE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  <w:num w:numId="5" w16cid:durableId="1772890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9C9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2921"/>
    <w:rsid w:val="000A3234"/>
    <w:rsid w:val="000A4225"/>
    <w:rsid w:val="000A6124"/>
    <w:rsid w:val="000B0743"/>
    <w:rsid w:val="000B15BE"/>
    <w:rsid w:val="000C0F47"/>
    <w:rsid w:val="000C1986"/>
    <w:rsid w:val="000D2299"/>
    <w:rsid w:val="000D67DA"/>
    <w:rsid w:val="000E3007"/>
    <w:rsid w:val="000E46B8"/>
    <w:rsid w:val="000E4CCD"/>
    <w:rsid w:val="000E7AED"/>
    <w:rsid w:val="000F02D8"/>
    <w:rsid w:val="000F31ED"/>
    <w:rsid w:val="001013D5"/>
    <w:rsid w:val="001059A7"/>
    <w:rsid w:val="00112FDA"/>
    <w:rsid w:val="00123672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2477"/>
    <w:rsid w:val="0026548C"/>
    <w:rsid w:val="002665DE"/>
    <w:rsid w:val="0027100D"/>
    <w:rsid w:val="00275B6D"/>
    <w:rsid w:val="00276D05"/>
    <w:rsid w:val="00284E5A"/>
    <w:rsid w:val="00287E63"/>
    <w:rsid w:val="00290A85"/>
    <w:rsid w:val="002914B1"/>
    <w:rsid w:val="00291837"/>
    <w:rsid w:val="00295006"/>
    <w:rsid w:val="002A09AE"/>
    <w:rsid w:val="002A2E12"/>
    <w:rsid w:val="002B156B"/>
    <w:rsid w:val="002B5EBE"/>
    <w:rsid w:val="002C0DD0"/>
    <w:rsid w:val="002C4979"/>
    <w:rsid w:val="002C5270"/>
    <w:rsid w:val="002C5B45"/>
    <w:rsid w:val="002C6916"/>
    <w:rsid w:val="002D3D54"/>
    <w:rsid w:val="002D5247"/>
    <w:rsid w:val="002D5D73"/>
    <w:rsid w:val="002D6041"/>
    <w:rsid w:val="002E1CA2"/>
    <w:rsid w:val="002E498C"/>
    <w:rsid w:val="002E68DD"/>
    <w:rsid w:val="002F0181"/>
    <w:rsid w:val="003006D8"/>
    <w:rsid w:val="00301D4C"/>
    <w:rsid w:val="00303911"/>
    <w:rsid w:val="00306A32"/>
    <w:rsid w:val="00306FEF"/>
    <w:rsid w:val="003233DA"/>
    <w:rsid w:val="00323B10"/>
    <w:rsid w:val="003246C8"/>
    <w:rsid w:val="00330A08"/>
    <w:rsid w:val="00330FF4"/>
    <w:rsid w:val="0033306C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538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26599"/>
    <w:rsid w:val="004339B9"/>
    <w:rsid w:val="00436EB4"/>
    <w:rsid w:val="004377EB"/>
    <w:rsid w:val="00442B98"/>
    <w:rsid w:val="004463FD"/>
    <w:rsid w:val="00447F97"/>
    <w:rsid w:val="00450D18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4D0C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38F1"/>
    <w:rsid w:val="004E4AF1"/>
    <w:rsid w:val="004E61A6"/>
    <w:rsid w:val="004E6F67"/>
    <w:rsid w:val="004F0974"/>
    <w:rsid w:val="004F0DC9"/>
    <w:rsid w:val="00501C4B"/>
    <w:rsid w:val="00504728"/>
    <w:rsid w:val="0050677E"/>
    <w:rsid w:val="00511599"/>
    <w:rsid w:val="005130CF"/>
    <w:rsid w:val="005224EB"/>
    <w:rsid w:val="00524282"/>
    <w:rsid w:val="0052660A"/>
    <w:rsid w:val="00526692"/>
    <w:rsid w:val="00526E8B"/>
    <w:rsid w:val="00530237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A5F33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5AD0"/>
    <w:rsid w:val="006163A6"/>
    <w:rsid w:val="006174A5"/>
    <w:rsid w:val="006225DE"/>
    <w:rsid w:val="00625FFF"/>
    <w:rsid w:val="00627DD2"/>
    <w:rsid w:val="00636592"/>
    <w:rsid w:val="0064123B"/>
    <w:rsid w:val="00643AF1"/>
    <w:rsid w:val="0064616A"/>
    <w:rsid w:val="00651268"/>
    <w:rsid w:val="006538BB"/>
    <w:rsid w:val="0065577B"/>
    <w:rsid w:val="00664720"/>
    <w:rsid w:val="00665D4E"/>
    <w:rsid w:val="00671252"/>
    <w:rsid w:val="006746E1"/>
    <w:rsid w:val="00675C18"/>
    <w:rsid w:val="0067635E"/>
    <w:rsid w:val="0068010B"/>
    <w:rsid w:val="00686288"/>
    <w:rsid w:val="00690654"/>
    <w:rsid w:val="006932FA"/>
    <w:rsid w:val="006A3521"/>
    <w:rsid w:val="006A61C9"/>
    <w:rsid w:val="006A7F7F"/>
    <w:rsid w:val="006B243D"/>
    <w:rsid w:val="006B26AA"/>
    <w:rsid w:val="006C0346"/>
    <w:rsid w:val="006C0465"/>
    <w:rsid w:val="006C04E0"/>
    <w:rsid w:val="006C1700"/>
    <w:rsid w:val="006C5678"/>
    <w:rsid w:val="006C5AF7"/>
    <w:rsid w:val="006D3B63"/>
    <w:rsid w:val="006E0483"/>
    <w:rsid w:val="006E1D0C"/>
    <w:rsid w:val="006E3F47"/>
    <w:rsid w:val="006E7AE4"/>
    <w:rsid w:val="006F238B"/>
    <w:rsid w:val="006F50A8"/>
    <w:rsid w:val="006F68B1"/>
    <w:rsid w:val="00701CAF"/>
    <w:rsid w:val="0070356B"/>
    <w:rsid w:val="00705FF2"/>
    <w:rsid w:val="007104E9"/>
    <w:rsid w:val="007114DD"/>
    <w:rsid w:val="00714E23"/>
    <w:rsid w:val="007179B6"/>
    <w:rsid w:val="0072200F"/>
    <w:rsid w:val="00735660"/>
    <w:rsid w:val="0073764B"/>
    <w:rsid w:val="007407E4"/>
    <w:rsid w:val="00743D12"/>
    <w:rsid w:val="00745A4A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D18D1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1F1B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5598"/>
    <w:rsid w:val="0090693B"/>
    <w:rsid w:val="00910748"/>
    <w:rsid w:val="0091183B"/>
    <w:rsid w:val="00915B02"/>
    <w:rsid w:val="00924C23"/>
    <w:rsid w:val="00931BE0"/>
    <w:rsid w:val="00944870"/>
    <w:rsid w:val="00944D83"/>
    <w:rsid w:val="00953A5F"/>
    <w:rsid w:val="00957F63"/>
    <w:rsid w:val="009641C3"/>
    <w:rsid w:val="0096476D"/>
    <w:rsid w:val="00967035"/>
    <w:rsid w:val="00971F40"/>
    <w:rsid w:val="00972A51"/>
    <w:rsid w:val="00974C89"/>
    <w:rsid w:val="00975019"/>
    <w:rsid w:val="009763B0"/>
    <w:rsid w:val="00980D1F"/>
    <w:rsid w:val="00982ADB"/>
    <w:rsid w:val="009832E9"/>
    <w:rsid w:val="00991B43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02B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04925"/>
    <w:rsid w:val="00A1653D"/>
    <w:rsid w:val="00A2171F"/>
    <w:rsid w:val="00A2495E"/>
    <w:rsid w:val="00A24C32"/>
    <w:rsid w:val="00A30DFB"/>
    <w:rsid w:val="00A3201F"/>
    <w:rsid w:val="00A3209A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6885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1406"/>
    <w:rsid w:val="00B23432"/>
    <w:rsid w:val="00B25031"/>
    <w:rsid w:val="00B26355"/>
    <w:rsid w:val="00B27F18"/>
    <w:rsid w:val="00B3396A"/>
    <w:rsid w:val="00B357E1"/>
    <w:rsid w:val="00B36DCD"/>
    <w:rsid w:val="00B42EF8"/>
    <w:rsid w:val="00B45EE9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0279"/>
    <w:rsid w:val="00B87E89"/>
    <w:rsid w:val="00B91EAE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B73A1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177B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5AB9"/>
    <w:rsid w:val="00D95BDE"/>
    <w:rsid w:val="00D977E1"/>
    <w:rsid w:val="00DA2254"/>
    <w:rsid w:val="00DA295C"/>
    <w:rsid w:val="00DA5276"/>
    <w:rsid w:val="00DA671D"/>
    <w:rsid w:val="00DB4B01"/>
    <w:rsid w:val="00DB60AF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0DF2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0DD0"/>
    <w:rsid w:val="00EA3D8C"/>
    <w:rsid w:val="00EA5F85"/>
    <w:rsid w:val="00EA69BC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1B85"/>
    <w:rsid w:val="00F030D7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0B48"/>
    <w:rsid w:val="00FB2399"/>
    <w:rsid w:val="00FB62ED"/>
    <w:rsid w:val="00FB6E6A"/>
    <w:rsid w:val="00FC2965"/>
    <w:rsid w:val="00FC357E"/>
    <w:rsid w:val="00FD1B5B"/>
    <w:rsid w:val="00FD3459"/>
    <w:rsid w:val="00FD4D83"/>
    <w:rsid w:val="00FD5B50"/>
    <w:rsid w:val="00FD5BC5"/>
    <w:rsid w:val="00FE0FD8"/>
    <w:rsid w:val="00FE1F65"/>
    <w:rsid w:val="00FE63F7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971F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" TargetMode="External"/><Relationship Id="rId13" Type="http://schemas.openxmlformats.org/officeDocument/2006/relationships/hyperlink" Target="https://www.instagram.com/lidl_cypru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lidlcy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foodacademy.com.cy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orporate.lidl.com.cy/el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youtu.be/ko66lye9eSw" TargetMode="External"/><Relationship Id="rId14" Type="http://schemas.openxmlformats.org/officeDocument/2006/relationships/hyperlink" Target="https://www.linkedin.com/company/lidl-cyprus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</Words>
  <Characters>2952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94</cp:revision>
  <cp:lastPrinted>2017-09-18T08:53:00Z</cp:lastPrinted>
  <dcterms:created xsi:type="dcterms:W3CDTF">2023-01-04T07:58:00Z</dcterms:created>
  <dcterms:modified xsi:type="dcterms:W3CDTF">2025-09-09T06:42:00Z</dcterms:modified>
</cp:coreProperties>
</file>