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40AC0" w14:textId="77777777" w:rsidR="004465B2" w:rsidRDefault="004465B2">
      <w:pPr>
        <w:pStyle w:val="EinfAbs"/>
        <w:rPr>
          <w:rFonts w:ascii="Lidl Font Pro" w:eastAsia="Lidl Font Pro" w:hAnsi="Lidl Font Pro" w:cs="Lidl Font Pro"/>
          <w:sz w:val="22"/>
          <w:szCs w:val="22"/>
          <w:lang w:val="en-US"/>
        </w:rPr>
      </w:pPr>
    </w:p>
    <w:p w14:paraId="67AD2F14" w14:textId="5611501F" w:rsidR="004465B2" w:rsidRDefault="00000000">
      <w:pPr>
        <w:pStyle w:val="EinfAbs"/>
        <w:jc w:val="right"/>
        <w:rPr>
          <w:rFonts w:ascii="Lidl Font Pro" w:eastAsia="Lidl Font Pro" w:hAnsi="Lidl Font Pro" w:cs="Lidl Font Pro"/>
          <w:sz w:val="22"/>
          <w:szCs w:val="22"/>
          <w:lang w:val="en-US"/>
        </w:rPr>
      </w:pPr>
      <w:r>
        <w:rPr>
          <w:rFonts w:ascii="Lidl Font Pro" w:eastAsia="Lidl Font Pro" w:hAnsi="Lidl Font Pro" w:cs="Lidl Font Pro"/>
          <w:sz w:val="22"/>
          <w:szCs w:val="22"/>
          <w:lang w:val="en-US"/>
        </w:rPr>
        <w:t>Larnaca, 1</w:t>
      </w:r>
      <w:r w:rsidR="00187455">
        <w:rPr>
          <w:rFonts w:ascii="Lidl Font Pro" w:eastAsia="Lidl Font Pro" w:hAnsi="Lidl Font Pro" w:cs="Lidl Font Pro"/>
          <w:sz w:val="22"/>
          <w:szCs w:val="22"/>
          <w:lang w:val="el-GR"/>
        </w:rPr>
        <w:t>1</w:t>
      </w:r>
      <w:r>
        <w:rPr>
          <w:rFonts w:ascii="Lidl Font Pro" w:eastAsia="Lidl Font Pro" w:hAnsi="Lidl Font Pro" w:cs="Lidl Font Pro"/>
          <w:sz w:val="22"/>
          <w:szCs w:val="22"/>
          <w:lang w:val="en-US"/>
        </w:rPr>
        <w:t>/03/202</w:t>
      </w:r>
      <w:bookmarkStart w:id="0" w:name="_Hlk13575460"/>
      <w:r>
        <w:rPr>
          <w:rFonts w:ascii="Lidl Font Pro" w:eastAsia="Lidl Font Pro" w:hAnsi="Lidl Font Pro" w:cs="Lidl Font Pro"/>
          <w:sz w:val="22"/>
          <w:szCs w:val="22"/>
          <w:lang w:val="en-US"/>
        </w:rPr>
        <w:t>5</w:t>
      </w:r>
      <w:bookmarkStart w:id="1" w:name="_Hlk55291287"/>
      <w:bookmarkEnd w:id="0"/>
    </w:p>
    <w:p w14:paraId="79F40F78" w14:textId="77777777" w:rsidR="004465B2" w:rsidRDefault="00000000">
      <w:pPr>
        <w:spacing w:before="100" w:after="120"/>
        <w:jc w:val="both"/>
        <w:rPr>
          <w:rStyle w:val="Hyperlink0"/>
        </w:rPr>
      </w:pPr>
      <w:r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  <w:t>Lidl Cyprus is a long-standing supporter of the Cyprus Anti-Cancer Society</w:t>
      </w:r>
    </w:p>
    <w:p w14:paraId="23025C71" w14:textId="77777777" w:rsidR="004465B2" w:rsidRDefault="00000000">
      <w:pPr>
        <w:spacing w:before="100" w:after="120" w:line="360" w:lineRule="auto"/>
        <w:jc w:val="both"/>
        <w:rPr>
          <w:rStyle w:val="Hyperlink0"/>
        </w:rPr>
      </w:pPr>
      <w:r>
        <w:rPr>
          <w:rStyle w:val="Hyperlink0"/>
        </w:rPr>
        <w:t>The company has stood by the side of the Society for over a decade through a multifaceted support plan, with a total value of over €1,100,000.</w:t>
      </w:r>
    </w:p>
    <w:bookmarkEnd w:id="1"/>
    <w:p w14:paraId="2CA1199E" w14:textId="77777777" w:rsidR="004465B2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b/>
          <w:bCs/>
          <w:lang w:val="en-US"/>
        </w:rPr>
      </w:pPr>
      <w:r>
        <w:rPr>
          <w:rFonts w:ascii="Lidl Font Pro" w:eastAsia="Lidl Font Pro" w:hAnsi="Lidl Font Pro" w:cs="Lidl Font Pro"/>
          <w:b/>
          <w:bCs/>
          <w:lang w:val="en-US"/>
        </w:rPr>
        <w:t xml:space="preserve">Lidl Cyprus </w:t>
      </w:r>
      <w:r>
        <w:rPr>
          <w:rFonts w:ascii="Lidl Font Pro" w:eastAsia="Lidl Font Pro" w:hAnsi="Lidl Font Pro" w:cs="Lidl Font Pro"/>
          <w:lang w:val="en-US"/>
        </w:rPr>
        <w:t xml:space="preserve">remains </w:t>
      </w:r>
      <w:r>
        <w:rPr>
          <w:rFonts w:ascii="Lidl Font Pro" w:eastAsia="Lidl Font Pro" w:hAnsi="Lidl Font Pro" w:cs="Lidl Font Pro"/>
          <w:b/>
          <w:bCs/>
          <w:lang w:val="en-US"/>
        </w:rPr>
        <w:t>committed to supporting Cypriot society,</w:t>
      </w:r>
      <w:r>
        <w:rPr>
          <w:rFonts w:ascii="Lidl Font Pro" w:eastAsia="Lidl Font Pro" w:hAnsi="Lidl Font Pro" w:cs="Lidl Font Pro"/>
          <w:lang w:val="en-US"/>
        </w:rPr>
        <w:t xml:space="preserve"> strengthening the valuable work of the Cyprus Anti-Cancer Society. </w:t>
      </w:r>
      <w:r>
        <w:rPr>
          <w:rFonts w:ascii="Lidl Font Pro" w:eastAsia="Lidl Font Pro" w:hAnsi="Lidl Font Pro" w:cs="Lidl Font Pro"/>
          <w:b/>
          <w:bCs/>
          <w:lang w:val="en-US"/>
        </w:rPr>
        <w:t>Since 2013,</w:t>
      </w:r>
      <w:r>
        <w:rPr>
          <w:rFonts w:ascii="Lidl Font Pro" w:eastAsia="Lidl Font Pro" w:hAnsi="Lidl Font Pro" w:cs="Lidl Font Pro"/>
          <w:lang w:val="en-US"/>
        </w:rPr>
        <w:t xml:space="preserve"> Lidl Cyprus has donated over </w:t>
      </w:r>
      <w:r>
        <w:rPr>
          <w:rFonts w:ascii="Lidl Font Pro" w:eastAsia="Lidl Font Pro" w:hAnsi="Lidl Font Pro" w:cs="Lidl Font Pro"/>
          <w:b/>
          <w:bCs/>
          <w:lang w:val="en-US"/>
        </w:rPr>
        <w:t>€1,110,000</w:t>
      </w:r>
      <w:r>
        <w:rPr>
          <w:rFonts w:ascii="Lidl Font Pro" w:eastAsia="Lidl Font Pro" w:hAnsi="Lidl Font Pro" w:cs="Lidl Font Pro"/>
          <w:lang w:val="en-US"/>
        </w:rPr>
        <w:t xml:space="preserve"> to the Cyprus Anti-Cancer Society, through strategic partnerships, charitable </w:t>
      </w:r>
      <w:proofErr w:type="gramStart"/>
      <w:r>
        <w:rPr>
          <w:rFonts w:ascii="Lidl Font Pro" w:eastAsia="Lidl Font Pro" w:hAnsi="Lidl Font Pro" w:cs="Lidl Font Pro"/>
          <w:lang w:val="en-US"/>
        </w:rPr>
        <w:t>events</w:t>
      </w:r>
      <w:proofErr w:type="gramEnd"/>
      <w:r>
        <w:rPr>
          <w:rFonts w:ascii="Lidl Font Pro" w:eastAsia="Lidl Font Pro" w:hAnsi="Lidl Font Pro" w:cs="Lidl Font Pro"/>
          <w:lang w:val="en-US"/>
        </w:rPr>
        <w:t xml:space="preserve"> and donations. This ongoing support is proof of the company's commitment to contributing to society and </w:t>
      </w:r>
      <w:r>
        <w:rPr>
          <w:rFonts w:ascii="Lidl Font Pro" w:eastAsia="Lidl Font Pro" w:hAnsi="Lidl Font Pro" w:cs="Lidl Font Pro"/>
          <w:b/>
          <w:bCs/>
          <w:lang w:val="en-US"/>
        </w:rPr>
        <w:t>standing firmly by the side of people going through cancer.</w:t>
      </w:r>
    </w:p>
    <w:p w14:paraId="3B608F93" w14:textId="77777777" w:rsidR="004465B2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b/>
          <w:bCs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More specifically, in January, the company donated the total amount of €108,307.80, which was raised with the valuable contribution of its customers as part of the Christmas campaign </w:t>
      </w:r>
      <w:r>
        <w:rPr>
          <w:rFonts w:ascii="Lidl Font Pro" w:eastAsia="Lidl Font Pro" w:hAnsi="Lidl Font Pro" w:cs="Lidl Font Pro"/>
          <w:b/>
          <w:bCs/>
          <w:lang w:val="en-US"/>
        </w:rPr>
        <w:t>‘We give great joy with just one small gesture’</w:t>
      </w:r>
      <w:r>
        <w:rPr>
          <w:rFonts w:ascii="Lidl Font Pro" w:eastAsia="Lidl Font Pro" w:hAnsi="Lidl Font Pro" w:cs="Lidl Font Pro"/>
          <w:lang w:val="en-US"/>
        </w:rPr>
        <w:t xml:space="preserve">, which took place from December 16 to 29, 2024. The campaign included the company's commitment to offer €0.60 to the Cyprus Anti-Cancer Society, for the long-term support of the 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Nutrition </w:t>
      </w:r>
      <w:proofErr w:type="spellStart"/>
      <w:r>
        <w:rPr>
          <w:rFonts w:ascii="Lidl Font Pro" w:eastAsia="Lidl Font Pro" w:hAnsi="Lidl Font Pro" w:cs="Lidl Font Pro"/>
          <w:b/>
          <w:bCs/>
          <w:lang w:val="en-US"/>
        </w:rPr>
        <w:t>Programme</w:t>
      </w:r>
      <w:proofErr w:type="spellEnd"/>
      <w:r>
        <w:rPr>
          <w:rFonts w:ascii="Lidl Font Pro" w:eastAsia="Lidl Font Pro" w:hAnsi="Lidl Font Pro" w:cs="Lidl Font Pro"/>
          <w:b/>
          <w:bCs/>
          <w:lang w:val="en-US"/>
        </w:rPr>
        <w:t xml:space="preserve"> of the "</w:t>
      </w:r>
      <w:proofErr w:type="spellStart"/>
      <w:r>
        <w:rPr>
          <w:rFonts w:ascii="Lidl Font Pro" w:eastAsia="Lidl Font Pro" w:hAnsi="Lidl Font Pro" w:cs="Lidl Font Pro"/>
          <w:b/>
          <w:bCs/>
          <w:lang w:val="en-US"/>
        </w:rPr>
        <w:t>Arodaphnousa</w:t>
      </w:r>
      <w:proofErr w:type="spellEnd"/>
      <w:r>
        <w:rPr>
          <w:rFonts w:ascii="Lidl Font Pro" w:eastAsia="Lidl Font Pro" w:hAnsi="Lidl Font Pro" w:cs="Lidl Font Pro"/>
          <w:b/>
          <w:bCs/>
          <w:lang w:val="en-US"/>
        </w:rPr>
        <w:t xml:space="preserve">" Palliative Care Centre </w:t>
      </w:r>
      <w:r>
        <w:rPr>
          <w:rFonts w:ascii="Lidl Font Pro" w:eastAsia="Lidl Font Pro" w:hAnsi="Lidl Font Pro" w:cs="Lidl Font Pro"/>
          <w:lang w:val="en-US"/>
        </w:rPr>
        <w:t xml:space="preserve">and the </w:t>
      </w:r>
      <w:r>
        <w:rPr>
          <w:rFonts w:ascii="Lidl Font Pro" w:eastAsia="Lidl Font Pro" w:hAnsi="Lidl Font Pro" w:cs="Lidl Font Pro"/>
          <w:b/>
          <w:bCs/>
          <w:lang w:val="en-US"/>
        </w:rPr>
        <w:t>creation of a relaxation area for the Centre’s visitors.</w:t>
      </w:r>
    </w:p>
    <w:p w14:paraId="0270D7B1" w14:textId="77777777" w:rsidR="004465B2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In addition to this campaign, Lidl Cyprus continued its support towards the Society 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by fully covering the costs of the charity concert with Kostis </w:t>
      </w:r>
      <w:proofErr w:type="spellStart"/>
      <w:r>
        <w:rPr>
          <w:rFonts w:ascii="Lidl Font Pro" w:eastAsia="Lidl Font Pro" w:hAnsi="Lidl Font Pro" w:cs="Lidl Font Pro"/>
          <w:b/>
          <w:bCs/>
          <w:lang w:val="en-US"/>
        </w:rPr>
        <w:t>Maravegias</w:t>
      </w:r>
      <w:proofErr w:type="spellEnd"/>
      <w:r>
        <w:rPr>
          <w:rFonts w:ascii="Lidl Font Pro" w:eastAsia="Lidl Font Pro" w:hAnsi="Lidl Font Pro" w:cs="Lidl Font Pro"/>
          <w:lang w:val="en-US"/>
        </w:rPr>
        <w:t xml:space="preserve">, which took place at the Nicosia Municipal Theatre last month. With Lidl Cyprus covering all the costs of the concert, the </w:t>
      </w:r>
      <w:r>
        <w:rPr>
          <w:rFonts w:ascii="Lidl Font Pro" w:eastAsia="Lidl Font Pro" w:hAnsi="Lidl Font Pro" w:cs="Lidl Font Pro"/>
          <w:b/>
          <w:bCs/>
          <w:lang w:val="en-US"/>
        </w:rPr>
        <w:t>total proceeds from ticket sales of €18,880</w:t>
      </w:r>
      <w:r>
        <w:rPr>
          <w:rFonts w:ascii="Lidl Font Pro" w:eastAsia="Lidl Font Pro" w:hAnsi="Lidl Font Pro" w:cs="Lidl Font Pro"/>
          <w:lang w:val="en-US"/>
        </w:rPr>
        <w:t xml:space="preserve"> were allocated exclusively to support the services of the Cyprus Anti-Cancer Society, enhancing palliative care and support for patients and their families.</w:t>
      </w:r>
    </w:p>
    <w:p w14:paraId="3E0F5A3F" w14:textId="77777777" w:rsidR="004465B2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b/>
          <w:bCs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At the same time, for the 12th consecutive year, 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the company also supports the Centre's Room Adoption </w:t>
      </w:r>
      <w:proofErr w:type="spellStart"/>
      <w:r>
        <w:rPr>
          <w:rFonts w:ascii="Lidl Font Pro" w:eastAsia="Lidl Font Pro" w:hAnsi="Lidl Font Pro" w:cs="Lidl Font Pro"/>
          <w:b/>
          <w:bCs/>
          <w:lang w:val="en-US"/>
        </w:rPr>
        <w:t>programme</w:t>
      </w:r>
      <w:proofErr w:type="spellEnd"/>
      <w:r>
        <w:rPr>
          <w:rFonts w:ascii="Lidl Font Pro" w:eastAsia="Lidl Font Pro" w:hAnsi="Lidl Font Pro" w:cs="Lidl Font Pro"/>
          <w:lang w:val="en-US"/>
        </w:rPr>
        <w:t xml:space="preserve">, with the </w:t>
      </w:r>
      <w:r>
        <w:rPr>
          <w:rFonts w:ascii="Lidl Font Pro" w:eastAsia="Lidl Font Pro" w:hAnsi="Lidl Font Pro" w:cs="Lidl Font Pro"/>
          <w:b/>
          <w:bCs/>
          <w:lang w:val="en-US"/>
        </w:rPr>
        <w:t>full coverage of two rooms of the "</w:t>
      </w:r>
      <w:proofErr w:type="spellStart"/>
      <w:r>
        <w:rPr>
          <w:rFonts w:ascii="Lidl Font Pro" w:eastAsia="Lidl Font Pro" w:hAnsi="Lidl Font Pro" w:cs="Lidl Font Pro"/>
          <w:b/>
          <w:bCs/>
          <w:lang w:val="en-US"/>
        </w:rPr>
        <w:t>Arodafnoussa</w:t>
      </w:r>
      <w:proofErr w:type="spellEnd"/>
      <w:r>
        <w:rPr>
          <w:rFonts w:ascii="Lidl Font Pro" w:eastAsia="Lidl Font Pro" w:hAnsi="Lidl Font Pro" w:cs="Lidl Font Pro"/>
          <w:b/>
          <w:bCs/>
          <w:lang w:val="en-US"/>
        </w:rPr>
        <w:t>" Palliative Care Centre.</w:t>
      </w:r>
    </w:p>
    <w:p w14:paraId="6E05FE86" w14:textId="77777777" w:rsidR="004465B2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With initiatives that make a difference, Lidl Cyprus continues to invest in social contribution actions, strengthening </w:t>
      </w:r>
      <w:proofErr w:type="spellStart"/>
      <w:r>
        <w:rPr>
          <w:rFonts w:ascii="Lidl Font Pro" w:eastAsia="Lidl Font Pro" w:hAnsi="Lidl Font Pro" w:cs="Lidl Font Pro"/>
          <w:lang w:val="en-US"/>
        </w:rPr>
        <w:t>organisations</w:t>
      </w:r>
      <w:proofErr w:type="spellEnd"/>
      <w:r>
        <w:rPr>
          <w:rFonts w:ascii="Lidl Font Pro" w:eastAsia="Lidl Font Pro" w:hAnsi="Lidl Font Pro" w:cs="Lidl Font Pro"/>
          <w:lang w:val="en-US"/>
        </w:rPr>
        <w:t xml:space="preserve"> and institutions that offer real care and support to Cypriot society.</w:t>
      </w:r>
    </w:p>
    <w:p w14:paraId="68E9E45B" w14:textId="77777777" w:rsidR="004465B2" w:rsidRDefault="00000000">
      <w:pPr>
        <w:spacing w:after="0"/>
        <w:jc w:val="both"/>
        <w:rPr>
          <w:rStyle w:val="Hyperlink0"/>
        </w:rPr>
      </w:pPr>
      <w:r>
        <w:rPr>
          <w:rStyle w:val="Hyperlink0"/>
        </w:rPr>
        <w:lastRenderedPageBreak/>
        <w:t>Visit Lidl Cyprus online:</w:t>
      </w:r>
    </w:p>
    <w:p w14:paraId="6FEA6D5E" w14:textId="77777777" w:rsidR="004465B2" w:rsidRDefault="00000000">
      <w:pPr>
        <w:spacing w:after="0"/>
        <w:jc w:val="both"/>
        <w:rPr>
          <w:rStyle w:val="Hyperlink0"/>
        </w:rPr>
      </w:pPr>
      <w:hyperlink r:id="rId7" w:history="1">
        <w:r>
          <w:rPr>
            <w:rStyle w:val="Hyperlink0"/>
          </w:rPr>
          <w:t>corporate.lidl.com.cy</w:t>
        </w:r>
      </w:hyperlink>
      <w:r>
        <w:rPr>
          <w:rStyle w:val="Hyperlink0"/>
        </w:rPr>
        <w:t xml:space="preserve"> </w:t>
      </w:r>
    </w:p>
    <w:p w14:paraId="0F72A816" w14:textId="77777777" w:rsidR="004465B2" w:rsidRDefault="00000000">
      <w:pPr>
        <w:spacing w:after="0"/>
        <w:jc w:val="both"/>
        <w:rPr>
          <w:rStyle w:val="Hyperlink0"/>
        </w:rPr>
      </w:pPr>
      <w:r>
        <w:rPr>
          <w:rStyle w:val="Hyperlink0"/>
        </w:rPr>
        <w:t>team.lidl.com.cy</w:t>
      </w:r>
    </w:p>
    <w:p w14:paraId="3CA70E10" w14:textId="77777777" w:rsidR="004465B2" w:rsidRDefault="00000000">
      <w:pPr>
        <w:spacing w:after="0"/>
        <w:jc w:val="both"/>
        <w:rPr>
          <w:rStyle w:val="Hyperlink0"/>
        </w:rPr>
      </w:pPr>
      <w:hyperlink r:id="rId8" w:history="1">
        <w:r>
          <w:rPr>
            <w:rStyle w:val="Hyperlink0"/>
          </w:rPr>
          <w:t>lidlfoodacademy.com.cy</w:t>
        </w:r>
      </w:hyperlink>
    </w:p>
    <w:p w14:paraId="6FD34CE2" w14:textId="77777777" w:rsidR="004465B2" w:rsidRDefault="00000000">
      <w:pPr>
        <w:spacing w:after="0"/>
        <w:jc w:val="both"/>
        <w:rPr>
          <w:rStyle w:val="Hyperlink0"/>
        </w:rPr>
      </w:pPr>
      <w:hyperlink r:id="rId9" w:history="1">
        <w:r>
          <w:rPr>
            <w:rStyle w:val="Hyperlink0"/>
          </w:rPr>
          <w:t>facebook.com/</w:t>
        </w:r>
        <w:proofErr w:type="spellStart"/>
        <w:r>
          <w:rPr>
            <w:rStyle w:val="Hyperlink0"/>
          </w:rPr>
          <w:t>lidlcy</w:t>
        </w:r>
        <w:proofErr w:type="spellEnd"/>
        <w:r>
          <w:rPr>
            <w:rStyle w:val="Hyperlink0"/>
          </w:rPr>
          <w:t xml:space="preserve">                    </w:t>
        </w:r>
      </w:hyperlink>
      <w:r>
        <w:rPr>
          <w:rStyle w:val="Hyperlink0"/>
        </w:rPr>
        <w:t xml:space="preserve"> </w:t>
      </w:r>
    </w:p>
    <w:p w14:paraId="18396879" w14:textId="77777777" w:rsidR="004465B2" w:rsidRDefault="00000000">
      <w:pPr>
        <w:spacing w:after="0"/>
        <w:jc w:val="both"/>
        <w:rPr>
          <w:rStyle w:val="Hyperlink0"/>
        </w:rPr>
      </w:pPr>
      <w:hyperlink r:id="rId10" w:history="1">
        <w:r>
          <w:rPr>
            <w:rStyle w:val="Hyperlink0"/>
          </w:rPr>
          <w:t>instagram.com/</w:t>
        </w:r>
        <w:proofErr w:type="spellStart"/>
        <w:r>
          <w:rPr>
            <w:rStyle w:val="Hyperlink0"/>
          </w:rPr>
          <w:t>lidl_cyprus</w:t>
        </w:r>
        <w:proofErr w:type="spellEnd"/>
        <w:r>
          <w:rPr>
            <w:rStyle w:val="Hyperlink0"/>
          </w:rPr>
          <w:t xml:space="preserve"> </w:t>
        </w:r>
      </w:hyperlink>
      <w:r>
        <w:rPr>
          <w:rStyle w:val="Hyperlink0"/>
        </w:rPr>
        <w:t xml:space="preserve"> </w:t>
      </w:r>
    </w:p>
    <w:p w14:paraId="6D69B2DC" w14:textId="77777777" w:rsidR="004465B2" w:rsidRDefault="00000000">
      <w:pPr>
        <w:spacing w:after="0"/>
        <w:jc w:val="both"/>
        <w:rPr>
          <w:rStyle w:val="Hyperlink0"/>
        </w:rPr>
      </w:pPr>
      <w:r>
        <w:rPr>
          <w:rStyle w:val="Hyperlink0"/>
        </w:rPr>
        <w:t>youtube.com/</w:t>
      </w:r>
      <w:proofErr w:type="spellStart"/>
      <w:r>
        <w:rPr>
          <w:rStyle w:val="Hyperlink0"/>
        </w:rPr>
        <w:t>lidlcyprus</w:t>
      </w:r>
      <w:proofErr w:type="spellEnd"/>
    </w:p>
    <w:p w14:paraId="0AFF9803" w14:textId="77777777" w:rsidR="004465B2" w:rsidRDefault="00000000">
      <w:pPr>
        <w:spacing w:after="0"/>
        <w:jc w:val="both"/>
        <w:rPr>
          <w:rStyle w:val="Hyperlink0"/>
        </w:rPr>
      </w:pPr>
      <w:hyperlink r:id="rId11" w:history="1">
        <w:r>
          <w:rPr>
            <w:rStyle w:val="Hyperlink0"/>
          </w:rPr>
          <w:t>linkedin.com/company/</w:t>
        </w:r>
        <w:proofErr w:type="spellStart"/>
        <w:r>
          <w:rPr>
            <w:rStyle w:val="Hyperlink0"/>
          </w:rPr>
          <w:t>lidl-cyprus</w:t>
        </w:r>
        <w:proofErr w:type="spellEnd"/>
      </w:hyperlink>
    </w:p>
    <w:p w14:paraId="0A7768C2" w14:textId="77777777" w:rsidR="004465B2" w:rsidRPr="00444B7F" w:rsidRDefault="00000000">
      <w:pPr>
        <w:spacing w:after="0"/>
        <w:jc w:val="both"/>
        <w:rPr>
          <w:lang w:val="en-US"/>
        </w:rPr>
      </w:pPr>
      <w:r>
        <w:rPr>
          <w:rStyle w:val="Hyperlink0"/>
        </w:rPr>
        <w:t xml:space="preserve"> </w:t>
      </w:r>
    </w:p>
    <w:sectPr w:rsidR="004465B2" w:rsidRPr="00444B7F">
      <w:headerReference w:type="default" r:id="rId12"/>
      <w:footerReference w:type="default" r:id="rId13"/>
      <w:pgSz w:w="11900" w:h="16840"/>
      <w:pgMar w:top="2070" w:right="1559" w:bottom="1531" w:left="179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CED46" w14:textId="77777777" w:rsidR="00A83C71" w:rsidRDefault="00A83C71">
      <w:pPr>
        <w:spacing w:after="0" w:line="240" w:lineRule="auto"/>
      </w:pPr>
      <w:r>
        <w:separator/>
      </w:r>
    </w:p>
  </w:endnote>
  <w:endnote w:type="continuationSeparator" w:id="0">
    <w:p w14:paraId="56840108" w14:textId="77777777" w:rsidR="00A83C71" w:rsidRDefault="00A83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Lidl Font Pro">
    <w:altName w:val="Calibri"/>
    <w:panose1 w:val="02000000000000000000"/>
    <w:charset w:val="A1"/>
    <w:family w:val="auto"/>
    <w:pitch w:val="variable"/>
    <w:sig w:usb0="A00002FF" w:usb1="500020E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43408" w14:textId="77777777" w:rsidR="004465B2" w:rsidRDefault="004465B2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A8EF5" w14:textId="77777777" w:rsidR="00A83C71" w:rsidRDefault="00A83C71">
      <w:pPr>
        <w:spacing w:after="0" w:line="240" w:lineRule="auto"/>
      </w:pPr>
      <w:r>
        <w:separator/>
      </w:r>
    </w:p>
  </w:footnote>
  <w:footnote w:type="continuationSeparator" w:id="0">
    <w:p w14:paraId="58F4599E" w14:textId="77777777" w:rsidR="00A83C71" w:rsidRDefault="00A83C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DA9E" w14:textId="77777777" w:rsidR="004465B2" w:rsidRDefault="00000000">
    <w:pPr>
      <w:pStyle w:val="a3"/>
      <w:jc w:val="right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25F6E9A6" wp14:editId="0C6E516F">
              <wp:simplePos x="0" y="0"/>
              <wp:positionH relativeFrom="page">
                <wp:posOffset>485773</wp:posOffset>
              </wp:positionH>
              <wp:positionV relativeFrom="page">
                <wp:posOffset>292734</wp:posOffset>
              </wp:positionV>
              <wp:extent cx="2981962" cy="295275"/>
              <wp:effectExtent l="0" t="0" r="0" b="0"/>
              <wp:wrapNone/>
              <wp:docPr id="1073741826" name="officeArt object" descr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81962" cy="29527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19051609" w14:textId="77777777" w:rsidR="004465B2" w:rsidRDefault="00000000"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color w:val="1F497D"/>
                              <w:sz w:val="38"/>
                              <w:szCs w:val="38"/>
                              <w:u w:color="1F497D"/>
                              <w:lang w:val="en-US"/>
                            </w:rPr>
                            <w:t>Press Release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F6E9A6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 Box 16" style="position:absolute;left:0;text-align:left;margin-left:38.25pt;margin-top:23.05pt;width:234.8pt;height:23.25pt;z-index:-25165824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" filled="f" stroked="f" strokeweight="1pt">
              <v:stroke miterlimit="4"/>
              <v:textbox inset="0,0,0,0">
                <w:txbxContent>
                  <w:p w14:paraId="19051609" w14:textId="77777777" w:rsidR="004465B2" w:rsidRDefault="00000000"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color w:val="1F497D"/>
                        <w:sz w:val="38"/>
                        <w:szCs w:val="38"/>
                        <w:u w:color="1F497D"/>
                        <w:lang w:val="en-US"/>
                      </w:rPr>
                      <w:t>Press Release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7F36D7C7" wp14:editId="7600DFEE">
              <wp:simplePos x="0" y="0"/>
              <wp:positionH relativeFrom="page">
                <wp:posOffset>1151889</wp:posOffset>
              </wp:positionH>
              <wp:positionV relativeFrom="page">
                <wp:posOffset>9839769</wp:posOffset>
              </wp:positionV>
              <wp:extent cx="6391275" cy="632460"/>
              <wp:effectExtent l="0" t="0" r="0" b="0"/>
              <wp:wrapNone/>
              <wp:docPr id="1073741827" name="officeArt object" descr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91275" cy="63246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5633C874" w14:textId="77777777" w:rsidR="004465B2" w:rsidRDefault="00000000">
                          <w:pPr>
                            <w:pStyle w:val="FuzeileText"/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</w:pPr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Lidl Cyprus</w:t>
                          </w:r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 xml:space="preserve"> · </w:t>
                          </w:r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Department of Corporate Affairs &amp; Sustainability</w:t>
                          </w:r>
                        </w:p>
                        <w:p w14:paraId="1B9DEAE0" w14:textId="77777777" w:rsidR="004465B2" w:rsidRPr="00444B7F" w:rsidRDefault="00000000">
                          <w:pPr>
                            <w:spacing w:after="0" w:line="240" w:lineRule="auto"/>
                            <w:rPr>
                              <w:lang w:val="en-US"/>
                            </w:rPr>
                          </w:pPr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 xml:space="preserve">Industrial Area of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 xml:space="preserve">, 2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Pigasou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 xml:space="preserve"> Street, CY-7100,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, Larnaca</w:t>
                          </w:r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br/>
                            <w:t>+357 24201100 · press@lidl.com.cy</w:t>
                          </w: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F36D7C7" id="_x0000_s1027" type="#_x0000_t202" alt="Text Box 9" style="position:absolute;left:0;text-align:left;margin-left:90.7pt;margin-top:774.8pt;width:503.25pt;height:49.8pt;z-index:-25165721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" filled="f" stroked="f" strokeweight="1pt">
              <v:stroke miterlimit="4"/>
              <v:textbox inset="0,0,0,0">
                <w:txbxContent>
                  <w:p w14:paraId="5633C874" w14:textId="77777777" w:rsidR="004465B2" w:rsidRDefault="00000000">
                    <w:pPr>
                      <w:pStyle w:val="FuzeileText"/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  <w:t>Lidl Cyprus</w:t>
                    </w:r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 xml:space="preserve"> · </w:t>
                    </w:r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  <w:t>Department of Corporate Affairs &amp; Sustainability</w:t>
                    </w:r>
                  </w:p>
                  <w:p w14:paraId="1B9DEAE0" w14:textId="77777777" w:rsidR="004465B2" w:rsidRPr="00444B7F" w:rsidRDefault="00000000">
                    <w:pPr>
                      <w:spacing w:after="0" w:line="240" w:lineRule="auto"/>
                      <w:rPr>
                        <w:lang w:val="en-US"/>
                      </w:rPr>
                    </w:pPr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 xml:space="preserve">Industrial Area of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 xml:space="preserve">, 2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Pigasou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 xml:space="preserve"> Street, CY-7100,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, Larnaca</w:t>
                    </w:r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br/>
                      <w:t>+357 24201100 · press@lidl.com.cy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                                                                                                                               </w:t>
    </w:r>
    <w:r>
      <w:rPr>
        <w:noProof/>
      </w:rPr>
      <w:drawing>
        <wp:inline distT="0" distB="0" distL="0" distR="0" wp14:anchorId="1A9BAA5E" wp14:editId="60E3AA31">
          <wp:extent cx="754381" cy="754833"/>
          <wp:effectExtent l="0" t="0" r="0" b="0"/>
          <wp:docPr id="1073741825" name="officeArt object" descr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Εικόνα 1" descr="Εικόνα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1" cy="75483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990140"/>
    <w:multiLevelType w:val="hybridMultilevel"/>
    <w:tmpl w:val="80CA5A78"/>
    <w:numStyleLink w:val="Bullets"/>
  </w:abstractNum>
  <w:abstractNum w:abstractNumId="1" w15:restartNumberingAfterBreak="0">
    <w:nsid w:val="751335A9"/>
    <w:multiLevelType w:val="hybridMultilevel"/>
    <w:tmpl w:val="80CA5A78"/>
    <w:styleLink w:val="Bullets"/>
    <w:lvl w:ilvl="0" w:tplc="01080D1C">
      <w:start w:val="1"/>
      <w:numFmt w:val="bullet"/>
      <w:lvlText w:val="-"/>
      <w:lvlJc w:val="left"/>
      <w:pPr>
        <w:ind w:left="174" w:hanging="174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336A14A">
      <w:start w:val="1"/>
      <w:numFmt w:val="bullet"/>
      <w:lvlText w:val="•"/>
      <w:lvlJc w:val="left"/>
      <w:pPr>
        <w:ind w:left="774" w:hanging="174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43280AA">
      <w:start w:val="1"/>
      <w:numFmt w:val="bullet"/>
      <w:lvlText w:val="•"/>
      <w:lvlJc w:val="left"/>
      <w:pPr>
        <w:ind w:left="1374" w:hanging="174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9DE4EA2">
      <w:start w:val="1"/>
      <w:numFmt w:val="bullet"/>
      <w:lvlText w:val="•"/>
      <w:lvlJc w:val="left"/>
      <w:pPr>
        <w:ind w:left="1974" w:hanging="174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C8A14E2">
      <w:start w:val="1"/>
      <w:numFmt w:val="bullet"/>
      <w:lvlText w:val="•"/>
      <w:lvlJc w:val="left"/>
      <w:pPr>
        <w:ind w:left="2574" w:hanging="174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6CAE3CA">
      <w:start w:val="1"/>
      <w:numFmt w:val="bullet"/>
      <w:lvlText w:val="•"/>
      <w:lvlJc w:val="left"/>
      <w:pPr>
        <w:ind w:left="3174" w:hanging="174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0EA4C8E">
      <w:start w:val="1"/>
      <w:numFmt w:val="bullet"/>
      <w:lvlText w:val="•"/>
      <w:lvlJc w:val="left"/>
      <w:pPr>
        <w:ind w:left="3774" w:hanging="174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2942646">
      <w:start w:val="1"/>
      <w:numFmt w:val="bullet"/>
      <w:lvlText w:val="•"/>
      <w:lvlJc w:val="left"/>
      <w:pPr>
        <w:ind w:left="4374" w:hanging="174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16C32A4">
      <w:start w:val="1"/>
      <w:numFmt w:val="bullet"/>
      <w:lvlText w:val="•"/>
      <w:lvlJc w:val="left"/>
      <w:pPr>
        <w:ind w:left="4974" w:hanging="174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803933365">
    <w:abstractNumId w:val="1"/>
  </w:num>
  <w:num w:numId="2" w16cid:durableId="13033833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5B2"/>
    <w:rsid w:val="00187455"/>
    <w:rsid w:val="00444B7F"/>
    <w:rsid w:val="004465B2"/>
    <w:rsid w:val="00A83C71"/>
    <w:rsid w:val="00F62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2D191"/>
  <w15:docId w15:val="{604B9CDA-94D5-4587-944B-0022FBA40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l-GR" w:eastAsia="el-G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de-DE"/>
      <w14:textOutline w14:w="0" w14:cap="flat" w14:cmpd="sng" w14:algn="ctr">
        <w14:noFill/>
        <w14:prstDash w14:val="solid"/>
        <w14:bevel/>
      </w14:textOutline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pPr>
      <w:tabs>
        <w:tab w:val="center" w:pos="4153"/>
        <w:tab w:val="right" w:pos="8306"/>
      </w:tabs>
    </w:pPr>
    <w:rPr>
      <w:rFonts w:ascii="Calibri" w:hAnsi="Calibri" w:cs="Arial Unicode MS"/>
      <w:color w:val="000000"/>
      <w:sz w:val="22"/>
      <w:szCs w:val="22"/>
      <w:u w:color="000000"/>
      <w:lang w:val="de-DE"/>
    </w:rPr>
  </w:style>
  <w:style w:type="paragraph" w:customStyle="1" w:styleId="FuzeileText">
    <w:name w:val="Fußzeile (Text)"/>
    <w:pPr>
      <w:spacing w:after="40" w:line="276" w:lineRule="auto"/>
    </w:pPr>
    <w:rPr>
      <w:rFonts w:ascii="Calibri" w:hAnsi="Calibri" w:cs="Arial Unicode MS"/>
      <w:color w:val="000000"/>
      <w:sz w:val="14"/>
      <w:szCs w:val="14"/>
      <w:u w:color="000000"/>
      <w:lang w:val="de-D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EinfAbs">
    <w:name w:val="[Einf. Abs.]"/>
    <w:pPr>
      <w:widowControl w:val="0"/>
      <w:spacing w:line="288" w:lineRule="auto"/>
    </w:pPr>
    <w:rPr>
      <w:rFonts w:ascii="Calibri" w:eastAsia="Calibri" w:hAnsi="Calibri" w:cs="Calibri"/>
      <w:color w:val="000000"/>
      <w:sz w:val="24"/>
      <w:szCs w:val="24"/>
      <w:u w:color="000000"/>
      <w:lang w:val="de-DE"/>
    </w:rPr>
  </w:style>
  <w:style w:type="character" w:customStyle="1" w:styleId="Hyperlink0">
    <w:name w:val="Hyperlink.0"/>
    <w:rPr>
      <w:rFonts w:ascii="Lidl Font Pro" w:eastAsia="Lidl Font Pro" w:hAnsi="Lidl Font Pro" w:cs="Lidl Font Pro"/>
      <w:b/>
      <w:bCs/>
      <w:outline w:val="0"/>
      <w:color w:val="1F497D"/>
      <w:u w:color="1F497D"/>
      <w:lang w:val="en-US"/>
    </w:rPr>
  </w:style>
  <w:style w:type="numbering" w:customStyle="1" w:styleId="Bullets">
    <w:name w:val="Bullets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dlfoodacademy.com.cy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corporate.lidl.com.cy/el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inkedin.com/company/lidl-cyprus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instagram.com/lidl_cypru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lidlcy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2164</Characters>
  <Application>Microsoft Office Word</Application>
  <DocSecurity>0</DocSecurity>
  <Lines>18</Lines>
  <Paragraphs>5</Paragraphs>
  <ScaleCrop>false</ScaleCrop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Nikoleta Evangelia Filippidou (ΝΙΚΟΛΕΤΑ ΕΥΑΓΓΕΛΙΑ ΦΙΛΙΠΠΙΔΟΥ)</cp:lastModifiedBy>
  <cp:revision>3</cp:revision>
  <dcterms:created xsi:type="dcterms:W3CDTF">2025-03-10T08:52:00Z</dcterms:created>
  <dcterms:modified xsi:type="dcterms:W3CDTF">2025-03-11T13:07:00Z</dcterms:modified>
</cp:coreProperties>
</file>