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777D2255" w:rsidR="00945119" w:rsidRPr="00FA46F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362DE2">
        <w:rPr>
          <w:rFonts w:ascii="Lidl Font Pro" w:hAnsi="Lidl Font Pro" w:cs="Helv"/>
          <w:color w:val="auto"/>
          <w:sz w:val="22"/>
          <w:szCs w:val="22"/>
          <w:lang w:val="en-GB"/>
        </w:rPr>
        <w:t>0</w:t>
      </w:r>
      <w:r w:rsidR="00B271F3">
        <w:rPr>
          <w:rFonts w:ascii="Lidl Font Pro" w:hAnsi="Lidl Font Pro" w:cs="Helv"/>
          <w:color w:val="auto"/>
          <w:sz w:val="22"/>
          <w:szCs w:val="22"/>
          <w:lang w:val="en-GB"/>
        </w:rPr>
        <w:t>9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362DE2">
        <w:rPr>
          <w:rFonts w:ascii="Lidl Font Pro" w:hAnsi="Lidl Font Pro" w:cs="Helv"/>
          <w:color w:val="auto"/>
          <w:sz w:val="22"/>
          <w:szCs w:val="22"/>
          <w:lang w:val="en-GB"/>
        </w:rPr>
        <w:t>05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FA46F0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</w:p>
    <w:p w14:paraId="7B16D130" w14:textId="75A4CE1F" w:rsidR="00945119" w:rsidRDefault="00362DE2" w:rsidP="00663C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The stars of the </w:t>
      </w:r>
      <w:r w:rsidRPr="00362DE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UEFA EURO 2024 now at Lidl</w:t>
      </w:r>
    </w:p>
    <w:p w14:paraId="356405FD" w14:textId="1E018393" w:rsidR="00945119" w:rsidRDefault="00362DE2" w:rsidP="0094511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The company gives everybody</w:t>
      </w:r>
      <w:r w:rsidRPr="00362DE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the opportunity to experience the pulse of the competition,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by </w:t>
      </w:r>
      <w:r w:rsidRPr="00362DE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collecting trading cards with the top players of the league, as well as a collector's album.</w:t>
      </w:r>
    </w:p>
    <w:p w14:paraId="1F945D17" w14:textId="2258306B" w:rsidR="00362DE2" w:rsidRPr="00362DE2" w:rsidRDefault="00362DE2" w:rsidP="00362DE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>
        <w:rPr>
          <w:rFonts w:ascii="Lidl Font Pro" w:hAnsi="Lidl Font Pro"/>
          <w:color w:val="000000" w:themeColor="text1"/>
          <w:lang w:val="en-US"/>
        </w:rPr>
        <w:t>A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s the </w:t>
      </w:r>
      <w:r w:rsidRPr="00362DE2">
        <w:rPr>
          <w:rFonts w:ascii="Lidl Font Pro" w:hAnsi="Lidl Font Pro"/>
          <w:b/>
          <w:color w:val="000000" w:themeColor="text1"/>
          <w:lang w:val="en-US"/>
        </w:rPr>
        <w:t xml:space="preserve">Official Partner of the UEFA EURO 2024 </w:t>
      </w:r>
      <w:r w:rsidRPr="00B271F3">
        <w:rPr>
          <w:rFonts w:ascii="Lidl Font Pro" w:eastAsia="Times New Roman" w:hAnsi="Lidl Font Pro"/>
          <w:b/>
          <w:color w:val="000000"/>
          <w:sz w:val="13"/>
          <w:szCs w:val="13"/>
          <w:vertAlign w:val="superscript"/>
          <w:lang w:val="en-US"/>
        </w:rPr>
        <w:t>T</w:t>
      </w:r>
      <w:r w:rsidRPr="00362DE2">
        <w:rPr>
          <w:rFonts w:ascii="Lidl Font Pro" w:eastAsia="Times New Roman" w:hAnsi="Lidl Font Pro"/>
          <w:b/>
          <w:color w:val="000000"/>
          <w:sz w:val="13"/>
          <w:szCs w:val="13"/>
          <w:vertAlign w:val="superscript"/>
          <w:lang w:val="en-US" w:eastAsia="fr-FR"/>
        </w:rPr>
        <w:t>M</w:t>
      </w:r>
      <w:r>
        <w:rPr>
          <w:rFonts w:ascii="Lidl Font Pro" w:hAnsi="Lidl Font Pro"/>
          <w:color w:val="000000" w:themeColor="text1"/>
          <w:lang w:val="en-US"/>
        </w:rPr>
        <w:t xml:space="preserve"> and 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wanting to </w:t>
      </w:r>
      <w:r>
        <w:rPr>
          <w:rFonts w:ascii="Lidl Font Pro" w:hAnsi="Lidl Font Pro"/>
          <w:color w:val="000000" w:themeColor="text1"/>
          <w:lang w:val="en-US"/>
        </w:rPr>
        <w:t>bring football fans even closer together, LIdl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 presents a special collection of trading cards full of action, starring the most popular stars of European football.</w:t>
      </w:r>
    </w:p>
    <w:p w14:paraId="19C3FEF2" w14:textId="677BE2BB" w:rsidR="00362DE2" w:rsidRPr="00362DE2" w:rsidRDefault="00362DE2" w:rsidP="00362DE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362DE2">
        <w:rPr>
          <w:rFonts w:ascii="Lidl Font Pro" w:hAnsi="Lidl Font Pro"/>
          <w:color w:val="000000" w:themeColor="text1"/>
          <w:lang w:val="en-US"/>
        </w:rPr>
        <w:t xml:space="preserve">Specifically, from </w:t>
      </w:r>
      <w:r w:rsidRPr="00362DE2">
        <w:rPr>
          <w:rFonts w:ascii="Lidl Font Pro" w:hAnsi="Lidl Font Pro"/>
          <w:b/>
          <w:color w:val="000000" w:themeColor="text1"/>
          <w:lang w:val="en-US"/>
        </w:rPr>
        <w:t>Thursday 2 May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 to </w:t>
      </w:r>
      <w:r w:rsidRPr="00362DE2">
        <w:rPr>
          <w:rFonts w:ascii="Lidl Font Pro" w:hAnsi="Lidl Font Pro"/>
          <w:b/>
          <w:color w:val="000000" w:themeColor="text1"/>
          <w:lang w:val="en-US"/>
        </w:rPr>
        <w:t>Wednesday 17 July 2024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, with every </w:t>
      </w:r>
      <w:r w:rsidRPr="00362DE2">
        <w:rPr>
          <w:rFonts w:ascii="Lidl Font Pro" w:hAnsi="Lidl Font Pro"/>
          <w:b/>
          <w:color w:val="000000" w:themeColor="text1"/>
          <w:lang w:val="en-US"/>
        </w:rPr>
        <w:t>€35 of purchases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, </w:t>
      </w:r>
      <w:r>
        <w:rPr>
          <w:rFonts w:ascii="Lidl Font Pro" w:hAnsi="Lidl Font Pro"/>
          <w:color w:val="000000" w:themeColor="text1"/>
          <w:lang w:val="en-US"/>
        </w:rPr>
        <w:t xml:space="preserve">and with 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no extra charge </w:t>
      </w:r>
      <w:r>
        <w:rPr>
          <w:rFonts w:ascii="Lidl Font Pro" w:hAnsi="Lidl Font Pro"/>
          <w:color w:val="000000" w:themeColor="text1"/>
          <w:lang w:val="en-US"/>
        </w:rPr>
        <w:t xml:space="preserve">at the cashier, 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customers </w:t>
      </w:r>
      <w:r>
        <w:rPr>
          <w:rFonts w:ascii="Lidl Font Pro" w:hAnsi="Lidl Font Pro"/>
          <w:color w:val="000000" w:themeColor="text1"/>
          <w:lang w:val="en-US"/>
        </w:rPr>
        <w:t>at any Lidl store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 can obtain </w:t>
      </w:r>
      <w:r w:rsidRPr="00362DE2">
        <w:rPr>
          <w:rFonts w:ascii="Lidl Font Pro" w:hAnsi="Lidl Font Pro"/>
          <w:b/>
          <w:color w:val="000000" w:themeColor="text1"/>
          <w:lang w:val="en-US"/>
        </w:rPr>
        <w:t>3 collectible exchange cards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 to play the Match Attax All Stars game, </w:t>
      </w:r>
      <w:r>
        <w:rPr>
          <w:rFonts w:ascii="Lidl Font Pro" w:hAnsi="Lidl Font Pro"/>
          <w:color w:val="000000" w:themeColor="text1"/>
          <w:lang w:val="en-US"/>
        </w:rPr>
        <w:t>in which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 2 players participate with the </w:t>
      </w:r>
      <w:r>
        <w:rPr>
          <w:rFonts w:ascii="Lidl Font Pro" w:hAnsi="Lidl Font Pro"/>
          <w:color w:val="000000" w:themeColor="text1"/>
          <w:lang w:val="en-US"/>
        </w:rPr>
        <w:t>aim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 of defeating their opponent by scoring more goals.</w:t>
      </w:r>
    </w:p>
    <w:p w14:paraId="6107629A" w14:textId="2A03CDCC" w:rsidR="009554AE" w:rsidRPr="00362DE2" w:rsidRDefault="00362DE2" w:rsidP="00362DE2">
      <w:pPr>
        <w:rPr>
          <w:rFonts w:ascii="Times" w:eastAsia="Times New Roman" w:hAnsi="Times"/>
          <w:sz w:val="20"/>
          <w:szCs w:val="20"/>
          <w:lang w:val="en-US" w:eastAsia="fr-FR"/>
        </w:rPr>
      </w:pPr>
      <w:r w:rsidRPr="00362DE2">
        <w:rPr>
          <w:rFonts w:ascii="Lidl Font Pro" w:hAnsi="Lidl Font Pro"/>
          <w:color w:val="000000" w:themeColor="text1"/>
          <w:lang w:val="en-US"/>
        </w:rPr>
        <w:t xml:space="preserve">In addition, the </w:t>
      </w:r>
      <w:r>
        <w:rPr>
          <w:rFonts w:ascii="Lidl Font Pro" w:hAnsi="Lidl Font Pro"/>
          <w:color w:val="000000" w:themeColor="text1"/>
          <w:lang w:val="en-US"/>
        </w:rPr>
        <w:t xml:space="preserve">wider 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public </w:t>
      </w:r>
      <w:r>
        <w:rPr>
          <w:rFonts w:ascii="Lidl Font Pro" w:hAnsi="Lidl Font Pro"/>
          <w:color w:val="000000" w:themeColor="text1"/>
          <w:lang w:val="en-US"/>
        </w:rPr>
        <w:t>will have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 the opportunity to complete the collection experience by ow</w:t>
      </w:r>
      <w:r>
        <w:rPr>
          <w:rFonts w:ascii="Lidl Font Pro" w:hAnsi="Lidl Font Pro"/>
          <w:color w:val="000000" w:themeColor="text1"/>
          <w:lang w:val="en-US"/>
        </w:rPr>
        <w:t xml:space="preserve">ning this year's </w:t>
      </w:r>
      <w:r w:rsidRPr="00362DE2">
        <w:rPr>
          <w:rFonts w:ascii="Lidl Font Pro" w:hAnsi="Lidl Font Pro"/>
          <w:b/>
          <w:color w:val="000000" w:themeColor="text1"/>
          <w:lang w:val="en-US"/>
        </w:rPr>
        <w:t>UEFA EURO</w:t>
      </w:r>
      <w:r>
        <w:rPr>
          <w:rFonts w:ascii="Lidl Font Pro" w:hAnsi="Lidl Font Pro"/>
          <w:color w:val="000000" w:themeColor="text1"/>
          <w:lang w:val="en-US"/>
        </w:rPr>
        <w:t xml:space="preserve"> 2024</w:t>
      </w:r>
      <w:r w:rsidRPr="00B271F3">
        <w:rPr>
          <w:rFonts w:ascii="Lidl Font Pro" w:eastAsia="Times New Roman" w:hAnsi="Lidl Font Pro"/>
          <w:color w:val="000000"/>
          <w:sz w:val="13"/>
          <w:szCs w:val="13"/>
          <w:vertAlign w:val="superscript"/>
          <w:lang w:val="en-US"/>
        </w:rPr>
        <w:t xml:space="preserve"> T</w:t>
      </w:r>
      <w:r w:rsidRPr="00362DE2">
        <w:rPr>
          <w:rFonts w:ascii="Lidl Font Pro" w:eastAsia="Times New Roman" w:hAnsi="Lidl Font Pro"/>
          <w:color w:val="000000"/>
          <w:sz w:val="13"/>
          <w:szCs w:val="13"/>
          <w:vertAlign w:val="superscript"/>
          <w:lang w:val="en-US" w:eastAsia="fr-FR"/>
        </w:rPr>
        <w:t>M</w:t>
      </w:r>
      <w:r w:rsidRPr="00B271F3">
        <w:rPr>
          <w:rFonts w:eastAsia="Times New Roman"/>
          <w:lang w:val="en-US"/>
        </w:rPr>
        <w:t xml:space="preserve"> </w:t>
      </w:r>
      <w:r w:rsidRPr="00362DE2">
        <w:rPr>
          <w:rFonts w:ascii="Lidl Font Pro" w:hAnsi="Lidl Font Pro"/>
          <w:b/>
          <w:color w:val="000000" w:themeColor="text1"/>
          <w:lang w:val="en-US"/>
        </w:rPr>
        <w:t>album</w:t>
      </w:r>
      <w:r w:rsidRPr="00362DE2">
        <w:rPr>
          <w:rFonts w:ascii="Lidl Font Pro" w:hAnsi="Lidl Font Pro"/>
          <w:color w:val="000000" w:themeColor="text1"/>
          <w:lang w:val="en-US"/>
        </w:rPr>
        <w:t xml:space="preserve"> for €1.99.</w:t>
      </w:r>
      <w:bookmarkEnd w:id="0"/>
      <w:bookmarkEnd w:id="1"/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384D92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384D92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1CD45" w14:textId="77777777" w:rsidR="00B049B0" w:rsidRDefault="00B049B0" w:rsidP="00C15348">
      <w:pPr>
        <w:spacing w:after="0" w:line="240" w:lineRule="auto"/>
      </w:pPr>
      <w:r>
        <w:separator/>
      </w:r>
    </w:p>
  </w:endnote>
  <w:endnote w:type="continuationSeparator" w:id="0">
    <w:p w14:paraId="55A614E0" w14:textId="77777777" w:rsidR="00B049B0" w:rsidRDefault="00B049B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ECBD" w14:textId="77777777" w:rsidR="00B049B0" w:rsidRDefault="00B049B0" w:rsidP="00C15348">
      <w:pPr>
        <w:spacing w:after="0" w:line="240" w:lineRule="auto"/>
      </w:pPr>
      <w:r>
        <w:separator/>
      </w:r>
    </w:p>
  </w:footnote>
  <w:footnote w:type="continuationSeparator" w:id="0">
    <w:p w14:paraId="59302B08" w14:textId="77777777" w:rsidR="00B049B0" w:rsidRDefault="00B049B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fr-FR" w:eastAsia="fr-FR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632905">
    <w:abstractNumId w:val="3"/>
  </w:num>
  <w:num w:numId="2" w16cid:durableId="359210912">
    <w:abstractNumId w:val="2"/>
  </w:num>
  <w:num w:numId="3" w16cid:durableId="48320499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271864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2DE2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049B0"/>
    <w:rsid w:val="00B13498"/>
    <w:rsid w:val="00B164FA"/>
    <w:rsid w:val="00B16E7E"/>
    <w:rsid w:val="00B23432"/>
    <w:rsid w:val="00B25031"/>
    <w:rsid w:val="00B26355"/>
    <w:rsid w:val="00B271F3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35D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F33A0FC-12A4-4599-9446-496DA189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A469A-8EDB-D14E-9DC1-26D1AEC157C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3</cp:revision>
  <cp:lastPrinted>2017-09-18T08:53:00Z</cp:lastPrinted>
  <dcterms:created xsi:type="dcterms:W3CDTF">2024-05-08T10:28:00Z</dcterms:created>
  <dcterms:modified xsi:type="dcterms:W3CDTF">2024-05-09T07:24:00Z</dcterms:modified>
</cp:coreProperties>
</file>