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EBE7" w14:textId="77777777" w:rsidR="00135504" w:rsidRDefault="00135504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7450C7EB" w14:textId="77777777" w:rsidR="00135504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12/06/202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5A127BC1" w14:textId="77777777" w:rsidR="00135504" w:rsidRPr="00510CD0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 w:rsidRPr="00510CD0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New era in vocational training: Lidl Cyprus invests in the new generation</w:t>
      </w:r>
    </w:p>
    <w:p w14:paraId="12227ED9" w14:textId="2D4E6FA5" w:rsidR="00135504" w:rsidRDefault="00000000">
      <w:pPr>
        <w:spacing w:before="100" w:after="120" w:line="360" w:lineRule="auto"/>
        <w:jc w:val="both"/>
        <w:rPr>
          <w:rStyle w:val="Hyperlink0"/>
        </w:rPr>
      </w:pPr>
      <w:r>
        <w:rPr>
          <w:rStyle w:val="Hyperlink0"/>
        </w:rPr>
        <w:t xml:space="preserve">Lidl UP: Learn &amp; Work paves the way for young people without experience to become </w:t>
      </w:r>
      <w:r w:rsidR="00510CD0">
        <w:rPr>
          <w:rStyle w:val="Hyperlink0"/>
        </w:rPr>
        <w:t>deputy</w:t>
      </w:r>
      <w:r>
        <w:rPr>
          <w:rStyle w:val="Hyperlink0"/>
        </w:rPr>
        <w:t xml:space="preserve"> store managers within two years.</w:t>
      </w:r>
    </w:p>
    <w:bookmarkEnd w:id="1"/>
    <w:p w14:paraId="5068F53E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 is ushering in a new era in vocational education and training with </w:t>
      </w:r>
      <w:r>
        <w:rPr>
          <w:rFonts w:ascii="Lidl Font Pro" w:eastAsia="Lidl Font Pro" w:hAnsi="Lidl Font Pro" w:cs="Lidl Font Pro"/>
          <w:b/>
          <w:bCs/>
          <w:lang w:val="en-US"/>
        </w:rPr>
        <w:t>Lidl UP: Learn &amp; Work</w:t>
      </w:r>
      <w:r>
        <w:rPr>
          <w:rFonts w:ascii="Lidl Font Pro" w:eastAsia="Lidl Font Pro" w:hAnsi="Lidl Font Pro" w:cs="Lidl Font Pro"/>
          <w:lang w:val="en-US"/>
        </w:rPr>
        <w:t>, an innovative dual education programme, implemented in collaboration with the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Future Skills Hub, the Learning Center of the European University Cyprus.</w:t>
      </w:r>
    </w:p>
    <w:p w14:paraId="65951E04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For the first time in Cyprus, retail trade is becoming a field of study and professional development with real opportunities. The programme will </w:t>
      </w:r>
      <w:r>
        <w:rPr>
          <w:rFonts w:ascii="Lidl Font Pro" w:eastAsia="Lidl Font Pro" w:hAnsi="Lidl Font Pro" w:cs="Lidl Font Pro"/>
          <w:b/>
          <w:bCs/>
          <w:lang w:val="en-US"/>
        </w:rPr>
        <w:t>be implemented in the districts of Nicosia, Larnaca, Limassol, Paphos and Famagusta with the participation of one student for each of the 21 Lidl stores.</w:t>
      </w:r>
    </w:p>
    <w:p w14:paraId="24AD7F22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What Lidl UP: Learn &amp; Work offers:</w:t>
      </w:r>
    </w:p>
    <w:p w14:paraId="2EF3029C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●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Real experience</w:t>
      </w:r>
      <w:r>
        <w:rPr>
          <w:rFonts w:ascii="Lidl Font Pro" w:eastAsia="Lidl Font Pro" w:hAnsi="Lidl Font Pro" w:cs="Lidl Font Pro"/>
          <w:lang w:val="en-US"/>
        </w:rPr>
        <w:t xml:space="preserve"> in Lidl stores across Cyprus, with guidance from experienced Store Managers</w:t>
      </w:r>
    </w:p>
    <w:p w14:paraId="3BB7EA8C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●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Fixed gross monthly salary </w:t>
      </w:r>
      <w:r>
        <w:rPr>
          <w:rFonts w:ascii="Lidl Font Pro" w:eastAsia="Lidl Font Pro" w:hAnsi="Lidl Font Pro" w:cs="Lidl Font Pro"/>
          <w:lang w:val="en-US"/>
        </w:rPr>
        <w:t>throughout the duration of studies, €1,000</w:t>
      </w:r>
    </w:p>
    <w:p w14:paraId="19ADC877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● </w:t>
      </w:r>
      <w:r>
        <w:rPr>
          <w:rFonts w:ascii="Lidl Font Pro" w:eastAsia="Lidl Font Pro" w:hAnsi="Lidl Font Pro" w:cs="Lidl Font Pro"/>
          <w:b/>
          <w:bCs/>
          <w:lang w:val="en-US"/>
        </w:rPr>
        <w:t>In 2 years, the position of Deputy Store Manager with gross earnings from €1,530</w:t>
      </w:r>
    </w:p>
    <w:p w14:paraId="3AF03B46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i/>
          <w:iCs/>
          <w:lang w:val="en-US"/>
        </w:rPr>
      </w:pPr>
      <w:r>
        <w:rPr>
          <w:rFonts w:ascii="Lidl Font Pro" w:eastAsia="Lidl Font Pro" w:hAnsi="Lidl Font Pro" w:cs="Lidl Font Pro"/>
          <w:i/>
          <w:iCs/>
          <w:lang w:val="en-US"/>
        </w:rPr>
        <w:t xml:space="preserve">● </w:t>
      </w:r>
      <w:r>
        <w:rPr>
          <w:rFonts w:ascii="Lidl Font Pro" w:eastAsia="Lidl Font Pro" w:hAnsi="Lidl Font Pro" w:cs="Lidl Font Pro"/>
          <w:b/>
          <w:bCs/>
          <w:i/>
          <w:iCs/>
          <w:lang w:val="en-US"/>
        </w:rPr>
        <w:t xml:space="preserve">Certificate of participation and training </w:t>
      </w:r>
      <w:r>
        <w:rPr>
          <w:rFonts w:ascii="Lidl Font Pro" w:eastAsia="Lidl Font Pro" w:hAnsi="Lidl Font Pro" w:cs="Lidl Font Pro"/>
          <w:i/>
          <w:iCs/>
          <w:lang w:val="en-US"/>
        </w:rPr>
        <w:t>in the Retail Management sector from the European University of Cyprus, which can be used to continue studies in a relevant degree program, such as Business Administration.</w:t>
      </w:r>
    </w:p>
    <w:p w14:paraId="2D1EAF31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Lidl UP: Learn &amp; Work </w:t>
      </w:r>
      <w:r>
        <w:rPr>
          <w:rFonts w:ascii="Lidl Font Pro" w:eastAsia="Lidl Font Pro" w:hAnsi="Lidl Font Pro" w:cs="Lidl Font Pro"/>
          <w:lang w:val="en-US"/>
        </w:rPr>
        <w:t>combines education and professional experience in real market conditions. It’s the answer to the needs of the new generation for stability, professional development and earnings, from day one.</w:t>
      </w:r>
    </w:p>
    <w:p w14:paraId="0D33BE93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Nicoletta Kolombourda, Chief People Officer &amp; member of the Board </w:t>
      </w:r>
      <w:r>
        <w:rPr>
          <w:rFonts w:ascii="Lidl Font Pro" w:eastAsia="Lidl Font Pro" w:hAnsi="Lidl Font Pro" w:cs="Lidl Font Pro"/>
          <w:lang w:val="en-US"/>
        </w:rPr>
        <w:t>of Lidl Cyprus, stated:</w:t>
      </w:r>
    </w:p>
    <w:p w14:paraId="1522C3BA" w14:textId="77777777" w:rsidR="00135504" w:rsidRDefault="00135504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</w:p>
    <w:p w14:paraId="71BB847E" w14:textId="77777777" w:rsidR="00135504" w:rsidRDefault="00135504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</w:p>
    <w:p w14:paraId="41D6D261" w14:textId="77777777" w:rsidR="00135504" w:rsidRDefault="00135504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</w:p>
    <w:p w14:paraId="6951AFC6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i/>
          <w:iCs/>
          <w:lang w:val="en-US"/>
        </w:rPr>
      </w:pPr>
      <w:r>
        <w:rPr>
          <w:rFonts w:ascii="Lidl Font Pro" w:eastAsia="Lidl Font Pro" w:hAnsi="Lidl Font Pro" w:cs="Lidl Font Pro"/>
          <w:i/>
          <w:iCs/>
          <w:lang w:val="en-US"/>
        </w:rPr>
        <w:t xml:space="preserve">“It’s with great joy and pride that we announce </w:t>
      </w:r>
      <w:r>
        <w:rPr>
          <w:rFonts w:ascii="Lidl Font Pro" w:eastAsia="Lidl Font Pro" w:hAnsi="Lidl Font Pro" w:cs="Lidl Font Pro"/>
          <w:b/>
          <w:bCs/>
          <w:i/>
          <w:iCs/>
          <w:lang w:val="en-US"/>
        </w:rPr>
        <w:t xml:space="preserve">the launch of Lidl UP: Learn &amp; Work in Cyprus. Our company invests steadily and consistently in the new generation, offering substantial development opportunities through comprehensive education </w:t>
      </w:r>
      <w:r>
        <w:rPr>
          <w:rFonts w:ascii="Lidl Font Pro" w:eastAsia="Lidl Font Pro" w:hAnsi="Lidl Font Pro" w:cs="Lidl Font Pro"/>
          <w:i/>
          <w:iCs/>
          <w:lang w:val="en-US"/>
        </w:rPr>
        <w:t xml:space="preserve">and employment programmes. At Lidl Cyprus, we believe that young people without professional experience, when properly supported, can take on key positions of responsibility in the dynamic retail sector. </w:t>
      </w:r>
      <w:r>
        <w:rPr>
          <w:rFonts w:ascii="Lidl Font Pro" w:eastAsia="Lidl Font Pro" w:hAnsi="Lidl Font Pro" w:cs="Lidl Font Pro"/>
          <w:b/>
          <w:bCs/>
          <w:i/>
          <w:iCs/>
          <w:lang w:val="en-US"/>
        </w:rPr>
        <w:t xml:space="preserve">Lidl UP: Learn &amp; Work </w:t>
      </w:r>
      <w:r>
        <w:rPr>
          <w:rFonts w:ascii="Lidl Font Pro" w:eastAsia="Lidl Font Pro" w:hAnsi="Lidl Font Pro" w:cs="Lidl Font Pro"/>
          <w:i/>
          <w:iCs/>
          <w:lang w:val="en-US"/>
        </w:rPr>
        <w:t>is part of a broader vision to create an ideal environment, where education, guidance and experience coexist. We are convinced that when people feel confident and trusted, they can develop and surpass themselves.”</w:t>
      </w:r>
    </w:p>
    <w:p w14:paraId="7DD12547" w14:textId="7777777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Lidl Cyprus remains true to its promise: a non-discriminatory environment where all generations coexist and thrive together. </w:t>
      </w:r>
      <w:r>
        <w:rPr>
          <w:rFonts w:ascii="Lidl Font Pro" w:eastAsia="Lidl Font Pro" w:hAnsi="Lidl Font Pro" w:cs="Lidl Font Pro"/>
          <w:lang w:val="en-US"/>
        </w:rPr>
        <w:t>This new programme shows the way forward in the retail industry for an inclusive future full of opportunities for the new generation of workers.</w:t>
      </w:r>
    </w:p>
    <w:p w14:paraId="5B9019A4" w14:textId="61FDC9E7" w:rsidR="0013550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Applications for the new programme will be open until</w:t>
      </w:r>
      <w:r w:rsidR="00510CD0">
        <w:rPr>
          <w:rFonts w:ascii="Lidl Font Pro" w:eastAsia="Lidl Font Pro" w:hAnsi="Lidl Font Pro" w:cs="Lidl Font Pro"/>
          <w:b/>
          <w:bCs/>
          <w:lang w:val="en-US"/>
        </w:rPr>
        <w:t xml:space="preserve"> 13.07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 xml:space="preserve">and the first section opens its doors in </w:t>
      </w:r>
      <w:r>
        <w:rPr>
          <w:rFonts w:ascii="Lidl Font Pro" w:eastAsia="Lidl Font Pro" w:hAnsi="Lidl Font Pro" w:cs="Lidl Font Pro"/>
          <w:b/>
          <w:bCs/>
          <w:lang w:val="en-US"/>
        </w:rPr>
        <w:t>September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4234845E" w14:textId="0C4F0628" w:rsidR="00135504" w:rsidRPr="009B2075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u w:val="single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Learn more about the program and Lidl Cyprus’ vision at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hyperlink r:id="rId6" w:history="1">
        <w:r w:rsidRPr="00A11823">
          <w:rPr>
            <w:rStyle w:val="-"/>
            <w:rFonts w:ascii="Lidl Font Pro" w:eastAsia="Lidl Font Pro" w:hAnsi="Lidl Font Pro" w:cs="Lidl Font Pro"/>
            <w:b/>
            <w:bCs/>
            <w:lang w:val="en-US"/>
          </w:rPr>
          <w:t>team.lidl.com.cy</w:t>
        </w:r>
      </w:hyperlink>
      <w:r w:rsidR="00A11823"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</w:p>
    <w:p w14:paraId="73C6D12D" w14:textId="77777777" w:rsidR="00135504" w:rsidRDefault="00135504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</w:p>
    <w:p w14:paraId="2D53B30B" w14:textId="77777777" w:rsidR="00135504" w:rsidRDefault="00135504">
      <w:pPr>
        <w:spacing w:before="100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</w:p>
    <w:p w14:paraId="7F088509" w14:textId="77777777" w:rsidR="00135504" w:rsidRDefault="00135504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04E49486" w14:textId="77777777" w:rsidR="00135504" w:rsidRDefault="00135504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50227BAC" w14:textId="77777777" w:rsidR="00135504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Visit Lidl Cyprus online:</w:t>
      </w:r>
    </w:p>
    <w:p w14:paraId="55EF48A7" w14:textId="77777777" w:rsidR="00135504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57C32055" w14:textId="77777777" w:rsidR="00135504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73BC4BC5" w14:textId="77777777" w:rsidR="00135504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lidlfoodacademy.com.cy</w:t>
        </w:r>
      </w:hyperlink>
    </w:p>
    <w:p w14:paraId="19B3BE2D" w14:textId="77777777" w:rsidR="00135504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 xml:space="preserve">facebook.com/lidlcy                    </w:t>
        </w:r>
      </w:hyperlink>
      <w:r>
        <w:rPr>
          <w:rStyle w:val="Hyperlink0"/>
        </w:rPr>
        <w:t xml:space="preserve"> </w:t>
      </w:r>
    </w:p>
    <w:p w14:paraId="1F9396B2" w14:textId="77777777" w:rsidR="00135504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 xml:space="preserve">instagram.com/lidl_cyprus </w:t>
        </w:r>
      </w:hyperlink>
      <w:r>
        <w:rPr>
          <w:rStyle w:val="Hyperlink0"/>
        </w:rPr>
        <w:t xml:space="preserve"> </w:t>
      </w:r>
    </w:p>
    <w:p w14:paraId="7C08F60A" w14:textId="77777777" w:rsidR="00135504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youtube.com/lidlcyprus</w:t>
      </w:r>
    </w:p>
    <w:p w14:paraId="7ED3D37E" w14:textId="77777777" w:rsidR="00135504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linkedin.com/company/lidl-cyprus</w:t>
        </w:r>
      </w:hyperlink>
    </w:p>
    <w:p w14:paraId="1F657E57" w14:textId="77777777" w:rsidR="00135504" w:rsidRPr="00510CD0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135504" w:rsidRPr="00510CD0">
      <w:headerReference w:type="default" r:id="rId12"/>
      <w:footerReference w:type="default" r:id="rId13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09271" w14:textId="77777777" w:rsidR="00726178" w:rsidRDefault="00726178">
      <w:pPr>
        <w:spacing w:after="0" w:line="240" w:lineRule="auto"/>
      </w:pPr>
      <w:r>
        <w:separator/>
      </w:r>
    </w:p>
  </w:endnote>
  <w:endnote w:type="continuationSeparator" w:id="0">
    <w:p w14:paraId="61DA8BFD" w14:textId="77777777" w:rsidR="00726178" w:rsidRDefault="00726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99AC" w14:textId="77777777" w:rsidR="00135504" w:rsidRDefault="00135504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79C37" w14:textId="77777777" w:rsidR="00726178" w:rsidRDefault="00726178">
      <w:pPr>
        <w:spacing w:after="0" w:line="240" w:lineRule="auto"/>
      </w:pPr>
      <w:r>
        <w:separator/>
      </w:r>
    </w:p>
  </w:footnote>
  <w:footnote w:type="continuationSeparator" w:id="0">
    <w:p w14:paraId="3A493BCE" w14:textId="77777777" w:rsidR="00726178" w:rsidRDefault="00726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8A04" w14:textId="77777777" w:rsidR="00135504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F3D1165" wp14:editId="14D13359">
              <wp:simplePos x="0" y="0"/>
              <wp:positionH relativeFrom="page">
                <wp:posOffset>1143399</wp:posOffset>
              </wp:positionH>
              <wp:positionV relativeFrom="page">
                <wp:posOffset>429895</wp:posOffset>
              </wp:positionV>
              <wp:extent cx="2981962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2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6188ACD" w14:textId="77777777" w:rsidR="00135504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3D1165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wB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4oSjrlqcVldXyaY4vS18yH+EmBIChrq8VqyWmz3&#10;FOKhdCpJzSw8Kq3z1WhLehyrui6xNWfoEKnZ4eNPVUZFdJFWpqE/yvSM/bVNcCL7YOx0IpeiOKyH&#10;kfEa2j0K0aMXGho+tswLSvRvi2In40yBn4L1FNituQe015wSZnkH6K5pwLttBKkyw9Tt0AKVSRu8&#10;0KzRaL7kmM/7XHX6RVZ/AQ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KRk7AG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06188ACD" w14:textId="77777777" w:rsidR="00135504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8ABA749" wp14:editId="2C3D8013">
              <wp:simplePos x="0" y="0"/>
              <wp:positionH relativeFrom="page">
                <wp:posOffset>1152521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9F3C9F5" w14:textId="77777777" w:rsidR="00135504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28979073" w14:textId="77777777" w:rsidR="00135504" w:rsidRPr="00510CD0" w:rsidRDefault="00000000">
                          <w:pPr>
                            <w:pStyle w:val="FuzeileText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Industrial Area of Aradippou, 2 Pigasou Street, CY-7100, Aradippou,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ABA749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49F3C9F5" w14:textId="77777777" w:rsidR="00135504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28979073" w14:textId="77777777" w:rsidR="00135504" w:rsidRPr="00510CD0" w:rsidRDefault="00000000">
                    <w:pPr>
                      <w:pStyle w:val="FuzeileText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Industrial Area of Aradippou, 2 Pigasou Street, CY-7100, Aradippou, Larnaca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4E672999" wp14:editId="66B3C479">
          <wp:simplePos x="0" y="0"/>
          <wp:positionH relativeFrom="page">
            <wp:posOffset>15239</wp:posOffset>
          </wp:positionH>
          <wp:positionV relativeFrom="page">
            <wp:posOffset>9863455</wp:posOffset>
          </wp:positionV>
          <wp:extent cx="7536816" cy="815340"/>
          <wp:effectExtent l="0" t="0" r="0" b="0"/>
          <wp:wrapNone/>
          <wp:docPr id="1073741828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5" descr="Picture 29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816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853365" wp14:editId="26117093">
          <wp:extent cx="906235" cy="906781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6235" cy="9067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504"/>
    <w:rsid w:val="00135504"/>
    <w:rsid w:val="0027552C"/>
    <w:rsid w:val="00510CD0"/>
    <w:rsid w:val="00726178"/>
    <w:rsid w:val="009B2075"/>
    <w:rsid w:val="00A1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2F979"/>
  <w15:docId w15:val="{23091F05-1B1C-4D75-B8A7-94F90652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Hyperlink0">
    <w:name w:val="Hyperlink.0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character" w:styleId="a4">
    <w:name w:val="Unresolved Mention"/>
    <w:basedOn w:val="a0"/>
    <w:uiPriority w:val="99"/>
    <w:semiHidden/>
    <w:unhideWhenUsed/>
    <w:rsid w:val="00A11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.lidl.com.cy/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Dimitrios Demiris (ΔΗΜΗΤΡΙΟΣ ΔΕΜΙΡΗΣ)</cp:lastModifiedBy>
  <cp:revision>4</cp:revision>
  <dcterms:created xsi:type="dcterms:W3CDTF">2025-06-11T11:47:00Z</dcterms:created>
  <dcterms:modified xsi:type="dcterms:W3CDTF">2025-06-11T11:50:00Z</dcterms:modified>
</cp:coreProperties>
</file>